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45F36" w14:textId="72502D16" w:rsidR="001F4C90" w:rsidRPr="00291BCF" w:rsidRDefault="001F4C90" w:rsidP="001F4C90">
      <w:pPr>
        <w:jc w:val="center"/>
        <w:rPr>
          <w:rFonts w:asciiTheme="minorBidi" w:hAnsiTheme="minorBidi"/>
          <w:b/>
          <w:bCs/>
          <w:sz w:val="40"/>
          <w:szCs w:val="40"/>
        </w:rPr>
      </w:pPr>
      <w:r>
        <w:rPr>
          <w:rFonts w:asciiTheme="minorBidi" w:hAnsiTheme="minorBidi"/>
          <w:b/>
          <w:bCs/>
          <w:sz w:val="40"/>
          <w:szCs w:val="40"/>
        </w:rPr>
        <w:t>EDI</w:t>
      </w:r>
      <w:r w:rsidRPr="00291BCF">
        <w:rPr>
          <w:rFonts w:asciiTheme="minorBidi" w:hAnsiTheme="minorBidi"/>
          <w:b/>
          <w:bCs/>
          <w:sz w:val="40"/>
          <w:szCs w:val="40"/>
        </w:rPr>
        <w:t xml:space="preserve"> 2017 – </w:t>
      </w:r>
      <w:r>
        <w:rPr>
          <w:rFonts w:asciiTheme="minorBidi" w:hAnsiTheme="minorBidi"/>
          <w:b/>
          <w:bCs/>
          <w:sz w:val="40"/>
          <w:szCs w:val="40"/>
        </w:rPr>
        <w:t>Brunel University</w:t>
      </w:r>
      <w:r w:rsidRPr="00291BCF">
        <w:rPr>
          <w:rFonts w:asciiTheme="minorBidi" w:hAnsiTheme="minorBidi"/>
          <w:b/>
          <w:bCs/>
          <w:sz w:val="40"/>
          <w:szCs w:val="40"/>
        </w:rPr>
        <w:t xml:space="preserve">, </w:t>
      </w:r>
      <w:r>
        <w:rPr>
          <w:rFonts w:asciiTheme="minorBidi" w:hAnsiTheme="minorBidi"/>
          <w:b/>
          <w:bCs/>
          <w:sz w:val="40"/>
          <w:szCs w:val="40"/>
        </w:rPr>
        <w:t>London</w:t>
      </w:r>
    </w:p>
    <w:p w14:paraId="43058730" w14:textId="77777777" w:rsidR="001F4C90" w:rsidRDefault="001F4C90" w:rsidP="001F4C90">
      <w:pPr>
        <w:spacing w:beforeLines="50" w:before="120" w:afterLines="50" w:after="120"/>
        <w:jc w:val="center"/>
        <w:rPr>
          <w:rFonts w:asciiTheme="minorBidi" w:hAnsiTheme="minorBidi"/>
          <w:b/>
          <w:i/>
          <w:color w:val="333333"/>
          <w:sz w:val="28"/>
          <w:szCs w:val="28"/>
          <w:shd w:val="clear" w:color="auto" w:fill="FFFFFF"/>
        </w:rPr>
      </w:pPr>
    </w:p>
    <w:p w14:paraId="46201DEB"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r w:rsidRPr="00437A35">
        <w:rPr>
          <w:rFonts w:asciiTheme="minorBidi" w:hAnsiTheme="minorBidi"/>
          <w:b/>
          <w:i/>
          <w:sz w:val="28"/>
          <w:szCs w:val="28"/>
          <w:shd w:val="clear" w:color="auto" w:fill="FFFFFF"/>
        </w:rPr>
        <w:t>Working Paper</w:t>
      </w:r>
    </w:p>
    <w:p w14:paraId="5928A646"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077FA679"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472217AB"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01F2DF4E"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5D6D6131"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483674F0" w14:textId="77777777" w:rsidR="001F4C90" w:rsidRPr="00437A35" w:rsidRDefault="001F4C90" w:rsidP="001F4C90">
      <w:pPr>
        <w:spacing w:beforeLines="50" w:before="120" w:afterLines="50" w:after="120"/>
        <w:jc w:val="center"/>
        <w:rPr>
          <w:rFonts w:asciiTheme="minorBidi" w:hAnsiTheme="minorBidi"/>
          <w:b/>
          <w:i/>
          <w:sz w:val="28"/>
          <w:szCs w:val="28"/>
          <w:shd w:val="clear" w:color="auto" w:fill="FFFFFF"/>
        </w:rPr>
      </w:pPr>
    </w:p>
    <w:p w14:paraId="6C30E763" w14:textId="657B5B88" w:rsidR="001F4C90" w:rsidRPr="00164D0D" w:rsidRDefault="001F4C90" w:rsidP="001F4C90">
      <w:pPr>
        <w:spacing w:beforeLines="50" w:before="120" w:afterLines="50" w:after="120"/>
        <w:jc w:val="center"/>
        <w:rPr>
          <w:rFonts w:ascii="Arial" w:hAnsi="Arial" w:cs="Arial"/>
          <w:sz w:val="26"/>
          <w:szCs w:val="26"/>
        </w:rPr>
      </w:pPr>
      <w:r w:rsidRPr="00164D0D">
        <w:rPr>
          <w:rFonts w:ascii="Arial" w:hAnsi="Arial" w:cs="Arial"/>
          <w:b/>
          <w:i/>
          <w:sz w:val="26"/>
          <w:szCs w:val="26"/>
          <w:shd w:val="clear" w:color="auto" w:fill="FFFFFF"/>
        </w:rPr>
        <w:t>“Brain-</w:t>
      </w:r>
      <w:r w:rsidR="00F46300">
        <w:rPr>
          <w:rFonts w:ascii="Arial" w:hAnsi="Arial" w:cs="Arial"/>
          <w:b/>
          <w:i/>
          <w:sz w:val="26"/>
          <w:szCs w:val="26"/>
          <w:shd w:val="clear" w:color="auto" w:fill="FFFFFF"/>
        </w:rPr>
        <w:t>Drain</w:t>
      </w:r>
      <w:r w:rsidRPr="00164D0D">
        <w:rPr>
          <w:rFonts w:ascii="Arial" w:hAnsi="Arial" w:cs="Arial"/>
          <w:b/>
          <w:i/>
          <w:sz w:val="26"/>
          <w:szCs w:val="26"/>
          <w:shd w:val="clear" w:color="auto" w:fill="FFFFFF"/>
        </w:rPr>
        <w:t xml:space="preserve">” in an era of business and socio-economic uncertainty: the role of </w:t>
      </w:r>
      <w:r w:rsidR="000051D8">
        <w:rPr>
          <w:rFonts w:ascii="Arial" w:hAnsi="Arial" w:cs="Arial"/>
          <w:b/>
          <w:i/>
          <w:sz w:val="26"/>
          <w:szCs w:val="26"/>
          <w:shd w:val="clear" w:color="auto" w:fill="FFFFFF"/>
        </w:rPr>
        <w:t xml:space="preserve">diversity </w:t>
      </w:r>
      <w:r w:rsidRPr="00164D0D">
        <w:rPr>
          <w:rFonts w:ascii="Arial" w:hAnsi="Arial" w:cs="Arial"/>
          <w:b/>
          <w:i/>
          <w:sz w:val="26"/>
          <w:szCs w:val="26"/>
          <w:shd w:val="clear" w:color="auto" w:fill="FFFFFF"/>
        </w:rPr>
        <w:t xml:space="preserve">training in managing </w:t>
      </w:r>
      <w:r w:rsidR="000051D8">
        <w:rPr>
          <w:rFonts w:ascii="Arial" w:hAnsi="Arial" w:cs="Arial"/>
          <w:b/>
          <w:i/>
          <w:sz w:val="26"/>
          <w:szCs w:val="26"/>
          <w:shd w:val="clear" w:color="auto" w:fill="FFFFFF"/>
        </w:rPr>
        <w:t>social integration</w:t>
      </w:r>
      <w:r w:rsidRPr="00164D0D">
        <w:rPr>
          <w:rFonts w:ascii="Arial" w:hAnsi="Arial" w:cs="Arial"/>
          <w:b/>
          <w:i/>
          <w:sz w:val="26"/>
          <w:szCs w:val="26"/>
          <w:shd w:val="clear" w:color="auto" w:fill="FFFFFF"/>
        </w:rPr>
        <w:t xml:space="preserve"> at the workplace</w:t>
      </w:r>
      <w:r w:rsidR="00F46300">
        <w:rPr>
          <w:rFonts w:ascii="Arial" w:hAnsi="Arial" w:cs="Arial"/>
          <w:b/>
          <w:i/>
          <w:sz w:val="26"/>
          <w:szCs w:val="26"/>
          <w:shd w:val="clear" w:color="auto" w:fill="FFFFFF"/>
        </w:rPr>
        <w:t>. The case of Greece and Portugal</w:t>
      </w:r>
    </w:p>
    <w:p w14:paraId="2B29B6C1" w14:textId="77777777" w:rsidR="001F4C90" w:rsidRDefault="001F4C90" w:rsidP="001F4C90"/>
    <w:p w14:paraId="7A54D244" w14:textId="77777777" w:rsidR="001F4C90" w:rsidRDefault="001F4C90" w:rsidP="001F4C90"/>
    <w:p w14:paraId="231377D6" w14:textId="77777777" w:rsidR="001F4C90" w:rsidRDefault="001F4C90" w:rsidP="001F4C90"/>
    <w:p w14:paraId="3CE90D68" w14:textId="30370561" w:rsidR="001F4C90" w:rsidRDefault="001F4C90" w:rsidP="001F4C90"/>
    <w:p w14:paraId="49D631FB" w14:textId="3018CDD4" w:rsidR="00247A96" w:rsidRDefault="00247A96" w:rsidP="001F4C90"/>
    <w:p w14:paraId="429CFE61" w14:textId="27D47376" w:rsidR="00247A96" w:rsidRDefault="00247A96" w:rsidP="001F4C90"/>
    <w:p w14:paraId="1C5E5002" w14:textId="6B4A1776" w:rsidR="00247A96" w:rsidRDefault="00247A96" w:rsidP="001F4C90"/>
    <w:p w14:paraId="1472FC5C" w14:textId="35D48446" w:rsidR="00247A96" w:rsidRDefault="00247A96" w:rsidP="001F4C90"/>
    <w:p w14:paraId="34E3437A" w14:textId="68583EF1" w:rsidR="00247A96" w:rsidRDefault="00247A96" w:rsidP="001F4C90"/>
    <w:p w14:paraId="1C73979E" w14:textId="2115171F" w:rsidR="00247A96" w:rsidRDefault="00247A96" w:rsidP="001F4C90"/>
    <w:p w14:paraId="1419649D" w14:textId="54B58C3E" w:rsidR="00247A96" w:rsidRDefault="00247A96" w:rsidP="001F4C90"/>
    <w:p w14:paraId="11410FE8" w14:textId="77777777" w:rsidR="001F4C90" w:rsidRDefault="001F4C90" w:rsidP="001F4C9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F4C90" w14:paraId="3A1EE049" w14:textId="77777777" w:rsidTr="003A4644">
        <w:trPr>
          <w:trHeight w:val="1889"/>
        </w:trPr>
        <w:tc>
          <w:tcPr>
            <w:tcW w:w="4530" w:type="dxa"/>
          </w:tcPr>
          <w:p w14:paraId="080C043D" w14:textId="77777777" w:rsidR="001F4C90" w:rsidRPr="000C0A78" w:rsidRDefault="001F4C90" w:rsidP="003A4644">
            <w:pPr>
              <w:spacing w:after="0" w:line="240" w:lineRule="auto"/>
              <w:jc w:val="center"/>
              <w:rPr>
                <w:rFonts w:ascii="Arial" w:hAnsi="Arial" w:cs="Arial"/>
                <w:b/>
                <w:i/>
                <w:sz w:val="24"/>
                <w:szCs w:val="24"/>
                <w:lang w:val="de-DE"/>
              </w:rPr>
            </w:pPr>
            <w:r w:rsidRPr="000C0A78">
              <w:rPr>
                <w:rFonts w:ascii="Arial" w:hAnsi="Arial" w:cs="Arial"/>
                <w:b/>
                <w:i/>
                <w:sz w:val="24"/>
                <w:szCs w:val="24"/>
                <w:lang w:val="de-DE"/>
              </w:rPr>
              <w:t>Dr Fotios Mitsakis</w:t>
            </w:r>
          </w:p>
          <w:p w14:paraId="500B3A2D" w14:textId="77777777" w:rsidR="001F4C90" w:rsidRPr="000C0A78" w:rsidRDefault="001F4C90" w:rsidP="003A4644">
            <w:pPr>
              <w:spacing w:after="0" w:line="240" w:lineRule="auto"/>
              <w:jc w:val="center"/>
              <w:rPr>
                <w:rFonts w:ascii="Arial" w:hAnsi="Arial" w:cs="Arial"/>
                <w:b/>
                <w:i/>
                <w:sz w:val="24"/>
                <w:szCs w:val="24"/>
                <w:lang w:val="de-DE"/>
              </w:rPr>
            </w:pPr>
            <w:r w:rsidRPr="000C0A78">
              <w:rPr>
                <w:rFonts w:ascii="Arial" w:hAnsi="Arial" w:cs="Arial"/>
                <w:b/>
                <w:i/>
                <w:sz w:val="24"/>
                <w:szCs w:val="24"/>
                <w:lang w:val="de-DE"/>
              </w:rPr>
              <w:t>Lecturer HRM/OB</w:t>
            </w:r>
          </w:p>
          <w:p w14:paraId="59C3BC05" w14:textId="77777777" w:rsidR="001F4C90" w:rsidRPr="000C0A78" w:rsidRDefault="001F4C90" w:rsidP="003A4644">
            <w:pPr>
              <w:spacing w:after="0" w:line="240" w:lineRule="auto"/>
              <w:jc w:val="center"/>
              <w:rPr>
                <w:rFonts w:ascii="Arial" w:hAnsi="Arial" w:cs="Arial"/>
                <w:b/>
                <w:i/>
                <w:sz w:val="24"/>
                <w:szCs w:val="24"/>
              </w:rPr>
            </w:pPr>
            <w:r w:rsidRPr="000C0A78">
              <w:rPr>
                <w:rFonts w:ascii="Arial" w:hAnsi="Arial" w:cs="Arial"/>
                <w:b/>
                <w:i/>
                <w:sz w:val="24"/>
                <w:szCs w:val="24"/>
              </w:rPr>
              <w:t>Nottingham Business School</w:t>
            </w:r>
          </w:p>
          <w:p w14:paraId="4510E654" w14:textId="77777777" w:rsidR="001F4C90" w:rsidRPr="000C0A78" w:rsidRDefault="001F4C90" w:rsidP="003A4644">
            <w:pPr>
              <w:spacing w:after="0" w:line="240" w:lineRule="auto"/>
              <w:jc w:val="center"/>
              <w:rPr>
                <w:rFonts w:ascii="Arial" w:hAnsi="Arial" w:cs="Arial"/>
                <w:b/>
                <w:i/>
                <w:sz w:val="24"/>
                <w:szCs w:val="24"/>
              </w:rPr>
            </w:pPr>
            <w:r w:rsidRPr="000C0A78">
              <w:rPr>
                <w:rFonts w:ascii="Arial" w:hAnsi="Arial" w:cs="Arial"/>
                <w:b/>
                <w:i/>
                <w:sz w:val="24"/>
                <w:szCs w:val="24"/>
              </w:rPr>
              <w:t>Nottingham Trent University</w:t>
            </w:r>
          </w:p>
          <w:p w14:paraId="34610E8A" w14:textId="77777777" w:rsidR="001F4C90" w:rsidRPr="000C0A78" w:rsidRDefault="006A5EE5" w:rsidP="003A4644">
            <w:pPr>
              <w:spacing w:after="0" w:line="240" w:lineRule="auto"/>
              <w:jc w:val="center"/>
              <w:rPr>
                <w:rFonts w:ascii="Arial" w:hAnsi="Arial" w:cs="Arial"/>
                <w:b/>
                <w:i/>
                <w:sz w:val="24"/>
                <w:szCs w:val="24"/>
              </w:rPr>
            </w:pPr>
            <w:hyperlink r:id="rId7" w:history="1">
              <w:r w:rsidR="001F4C90" w:rsidRPr="000C0A78">
                <w:rPr>
                  <w:rStyle w:val="Hyperlink"/>
                  <w:rFonts w:ascii="Arial" w:hAnsi="Arial" w:cs="Arial"/>
                  <w:b/>
                  <w:i/>
                  <w:sz w:val="24"/>
                  <w:szCs w:val="24"/>
                </w:rPr>
                <w:t>fotios.mitsakis@ntu.ac.uk</w:t>
              </w:r>
            </w:hyperlink>
          </w:p>
          <w:p w14:paraId="0A779ECD" w14:textId="77777777" w:rsidR="001F4C90" w:rsidRPr="000C0A78" w:rsidRDefault="001F4C90" w:rsidP="003A4644">
            <w:pPr>
              <w:rPr>
                <w:rFonts w:ascii="Arial" w:hAnsi="Arial" w:cs="Arial"/>
              </w:rPr>
            </w:pPr>
          </w:p>
        </w:tc>
        <w:tc>
          <w:tcPr>
            <w:tcW w:w="4530" w:type="dxa"/>
          </w:tcPr>
          <w:p w14:paraId="2A13C9B5" w14:textId="77777777" w:rsidR="001F4C90" w:rsidRPr="000C0A78" w:rsidRDefault="001F4C90" w:rsidP="003A4644">
            <w:pPr>
              <w:spacing w:after="0" w:line="240" w:lineRule="auto"/>
              <w:jc w:val="center"/>
              <w:rPr>
                <w:rFonts w:ascii="Arial" w:hAnsi="Arial" w:cs="Arial"/>
                <w:b/>
                <w:i/>
                <w:sz w:val="24"/>
                <w:szCs w:val="24"/>
                <w:lang w:val="de-DE"/>
              </w:rPr>
            </w:pPr>
            <w:r w:rsidRPr="000C0A78">
              <w:rPr>
                <w:rFonts w:ascii="Arial" w:hAnsi="Arial" w:cs="Arial"/>
                <w:b/>
                <w:i/>
                <w:sz w:val="24"/>
                <w:szCs w:val="24"/>
                <w:lang w:val="de-DE"/>
              </w:rPr>
              <w:t>Pedro Mendonca</w:t>
            </w:r>
          </w:p>
          <w:p w14:paraId="542DF72D" w14:textId="77777777" w:rsidR="001F4C90" w:rsidRPr="000C0A78" w:rsidRDefault="001F4C90" w:rsidP="003A4644">
            <w:pPr>
              <w:spacing w:after="0" w:line="240" w:lineRule="auto"/>
              <w:jc w:val="center"/>
              <w:rPr>
                <w:rFonts w:ascii="Arial" w:hAnsi="Arial" w:cs="Arial"/>
                <w:b/>
                <w:i/>
                <w:sz w:val="24"/>
                <w:szCs w:val="24"/>
                <w:lang w:val="de-DE"/>
              </w:rPr>
            </w:pPr>
            <w:r w:rsidRPr="000C0A78">
              <w:rPr>
                <w:rFonts w:ascii="Arial" w:hAnsi="Arial" w:cs="Arial"/>
                <w:b/>
                <w:i/>
                <w:sz w:val="24"/>
                <w:szCs w:val="24"/>
                <w:lang w:val="de-DE"/>
              </w:rPr>
              <w:t>Lecturer HRM/OB</w:t>
            </w:r>
          </w:p>
          <w:p w14:paraId="02704BB3" w14:textId="77777777" w:rsidR="001F4C90" w:rsidRPr="000C0A78" w:rsidRDefault="001F4C90" w:rsidP="003A4644">
            <w:pPr>
              <w:spacing w:after="0" w:line="240" w:lineRule="auto"/>
              <w:jc w:val="center"/>
              <w:rPr>
                <w:rFonts w:ascii="Arial" w:hAnsi="Arial" w:cs="Arial"/>
                <w:b/>
                <w:i/>
                <w:sz w:val="24"/>
                <w:szCs w:val="24"/>
              </w:rPr>
            </w:pPr>
            <w:r w:rsidRPr="000C0A78">
              <w:rPr>
                <w:rFonts w:ascii="Arial" w:hAnsi="Arial" w:cs="Arial"/>
                <w:b/>
                <w:i/>
                <w:sz w:val="24"/>
                <w:szCs w:val="24"/>
              </w:rPr>
              <w:t>Nottingham Business School</w:t>
            </w:r>
          </w:p>
          <w:p w14:paraId="2914B70B" w14:textId="77777777" w:rsidR="001F4C90" w:rsidRPr="000C0A78" w:rsidRDefault="001F4C90" w:rsidP="003A4644">
            <w:pPr>
              <w:spacing w:after="0" w:line="240" w:lineRule="auto"/>
              <w:jc w:val="center"/>
              <w:rPr>
                <w:rFonts w:ascii="Arial" w:hAnsi="Arial" w:cs="Arial"/>
                <w:b/>
                <w:i/>
                <w:sz w:val="24"/>
                <w:szCs w:val="24"/>
              </w:rPr>
            </w:pPr>
            <w:r w:rsidRPr="000C0A78">
              <w:rPr>
                <w:rFonts w:ascii="Arial" w:hAnsi="Arial" w:cs="Arial"/>
                <w:b/>
                <w:i/>
                <w:sz w:val="24"/>
                <w:szCs w:val="24"/>
              </w:rPr>
              <w:t>Nottingham Trent University</w:t>
            </w:r>
          </w:p>
          <w:p w14:paraId="1ABEF080" w14:textId="77777777" w:rsidR="001F4C90" w:rsidRPr="000C0A78" w:rsidRDefault="006A5EE5" w:rsidP="003A4644">
            <w:pPr>
              <w:spacing w:after="0" w:line="240" w:lineRule="auto"/>
              <w:jc w:val="center"/>
              <w:rPr>
                <w:rFonts w:ascii="Arial" w:hAnsi="Arial" w:cs="Arial"/>
                <w:b/>
                <w:i/>
                <w:sz w:val="24"/>
                <w:szCs w:val="24"/>
              </w:rPr>
            </w:pPr>
            <w:hyperlink r:id="rId8" w:history="1">
              <w:r w:rsidR="001F4C90" w:rsidRPr="000C0A78">
                <w:rPr>
                  <w:rStyle w:val="Hyperlink"/>
                  <w:rFonts w:ascii="Arial" w:hAnsi="Arial" w:cs="Arial"/>
                  <w:b/>
                  <w:i/>
                  <w:sz w:val="24"/>
                  <w:szCs w:val="24"/>
                </w:rPr>
                <w:t>pedro.mendonca@ntu.ac.uk</w:t>
              </w:r>
            </w:hyperlink>
          </w:p>
          <w:p w14:paraId="2A1D1E44" w14:textId="77777777" w:rsidR="001F4C90" w:rsidRPr="000C0A78" w:rsidRDefault="001F4C90" w:rsidP="003A4644">
            <w:pPr>
              <w:rPr>
                <w:rFonts w:ascii="Arial" w:hAnsi="Arial" w:cs="Arial"/>
              </w:rPr>
            </w:pPr>
          </w:p>
        </w:tc>
      </w:tr>
    </w:tbl>
    <w:p w14:paraId="4D8F123B" w14:textId="4E93BBD3" w:rsidR="001F4C90" w:rsidRPr="0057224C" w:rsidRDefault="001F4C90" w:rsidP="001F4C90">
      <w:pPr>
        <w:spacing w:after="0" w:line="240" w:lineRule="auto"/>
        <w:contextualSpacing/>
        <w:jc w:val="center"/>
        <w:rPr>
          <w:rFonts w:asciiTheme="minorBidi" w:hAnsiTheme="minorBidi"/>
          <w:b/>
          <w:sz w:val="28"/>
          <w:szCs w:val="28"/>
        </w:rPr>
      </w:pPr>
      <w:r w:rsidRPr="0057224C">
        <w:rPr>
          <w:rFonts w:asciiTheme="minorBidi" w:hAnsiTheme="minorBidi"/>
          <w:b/>
          <w:sz w:val="28"/>
          <w:szCs w:val="28"/>
        </w:rPr>
        <w:lastRenderedPageBreak/>
        <w:t>Abstract</w:t>
      </w:r>
    </w:p>
    <w:p w14:paraId="04BB46BE" w14:textId="458D027C" w:rsidR="001F4C90" w:rsidRPr="000E258A" w:rsidRDefault="001F4C90" w:rsidP="001F4C90">
      <w:pPr>
        <w:spacing w:after="0" w:line="240" w:lineRule="auto"/>
        <w:contextualSpacing/>
        <w:jc w:val="both"/>
        <w:rPr>
          <w:rFonts w:ascii="Times New Roman" w:hAnsi="Times New Roman" w:cs="Times New Roman"/>
          <w:sz w:val="24"/>
          <w:szCs w:val="24"/>
        </w:rPr>
      </w:pPr>
      <w:r w:rsidRPr="000E258A">
        <w:rPr>
          <w:rFonts w:ascii="Times New Roman" w:hAnsi="Times New Roman" w:cs="Times New Roman"/>
          <w:b/>
          <w:sz w:val="24"/>
          <w:szCs w:val="24"/>
        </w:rPr>
        <w:t xml:space="preserve">Purpose: </w:t>
      </w:r>
      <w:r w:rsidR="0037045D" w:rsidRPr="000E258A">
        <w:rPr>
          <w:rFonts w:ascii="Times New Roman" w:hAnsi="Times New Roman" w:cs="Times New Roman"/>
          <w:sz w:val="24"/>
          <w:szCs w:val="24"/>
        </w:rPr>
        <w:t>This study examines the extent to which diversity training is being used in workplaces in the UK to better integrate migrant workers. The paper also aims at assessing the perceived challenges and benefits that diversity training may produce for individuals</w:t>
      </w:r>
      <w:r w:rsidR="00182276" w:rsidRPr="000E258A">
        <w:rPr>
          <w:rFonts w:ascii="Times New Roman" w:eastAsia="Calibri" w:hAnsi="Times New Roman" w:cs="Times New Roman"/>
          <w:sz w:val="24"/>
          <w:szCs w:val="24"/>
          <w:lang w:eastAsia="en-GB"/>
        </w:rPr>
        <w:t xml:space="preserve"> </w:t>
      </w:r>
      <w:r w:rsidRPr="000E258A">
        <w:rPr>
          <w:rFonts w:ascii="Times New Roman" w:eastAsia="Calibri" w:hAnsi="Times New Roman" w:cs="Times New Roman"/>
          <w:sz w:val="24"/>
          <w:szCs w:val="24"/>
          <w:lang w:eastAsia="en-GB"/>
        </w:rPr>
        <w:t xml:space="preserve">in an era of economic and social uncertainty and insecurity. </w:t>
      </w:r>
      <w:r w:rsidR="00182276" w:rsidRPr="000E258A">
        <w:rPr>
          <w:rFonts w:ascii="Times New Roman" w:eastAsia="Calibri" w:hAnsi="Times New Roman" w:cs="Times New Roman"/>
          <w:sz w:val="24"/>
          <w:szCs w:val="24"/>
          <w:lang w:eastAsia="en-GB"/>
        </w:rPr>
        <w:t>The underlying reasons that made many highly-skilled individuals to emigrate would also be highlighted. Most importantly though, the paper aims at initiating a discussion</w:t>
      </w:r>
      <w:r w:rsidRPr="000E258A">
        <w:rPr>
          <w:rFonts w:ascii="Times New Roman" w:hAnsi="Times New Roman" w:cs="Times New Roman"/>
          <w:sz w:val="24"/>
          <w:szCs w:val="24"/>
        </w:rPr>
        <w:t xml:space="preserve"> as to what extent diversity training could facilitate </w:t>
      </w:r>
      <w:r w:rsidR="00182276" w:rsidRPr="000E258A">
        <w:rPr>
          <w:rFonts w:ascii="Times New Roman" w:hAnsi="Times New Roman" w:cs="Times New Roman"/>
          <w:sz w:val="24"/>
          <w:szCs w:val="24"/>
        </w:rPr>
        <w:t xml:space="preserve">their </w:t>
      </w:r>
      <w:r w:rsidRPr="000E258A">
        <w:rPr>
          <w:rFonts w:ascii="Times New Roman" w:hAnsi="Times New Roman" w:cs="Times New Roman"/>
          <w:sz w:val="24"/>
          <w:szCs w:val="24"/>
        </w:rPr>
        <w:t xml:space="preserve">social integration at the workplace. Thus, to better serve its purpose, the study explores </w:t>
      </w:r>
      <w:r w:rsidR="00182276" w:rsidRPr="000E258A">
        <w:rPr>
          <w:rFonts w:ascii="Times New Roman" w:hAnsi="Times New Roman" w:cs="Times New Roman"/>
          <w:sz w:val="24"/>
          <w:szCs w:val="24"/>
        </w:rPr>
        <w:t>Greek and Portuguese migrant workers’</w:t>
      </w:r>
      <w:r w:rsidRPr="000E258A">
        <w:rPr>
          <w:rFonts w:ascii="Times New Roman" w:hAnsi="Times New Roman" w:cs="Times New Roman"/>
          <w:sz w:val="24"/>
          <w:szCs w:val="24"/>
        </w:rPr>
        <w:t xml:space="preserve"> perceptions of the phenomenon under investigation.</w:t>
      </w:r>
    </w:p>
    <w:p w14:paraId="1F958A51" w14:textId="77777777" w:rsidR="001F4C90" w:rsidRPr="000E258A" w:rsidRDefault="001F4C90" w:rsidP="001F4C90">
      <w:pPr>
        <w:spacing w:after="0" w:line="240" w:lineRule="auto"/>
        <w:contextualSpacing/>
        <w:jc w:val="both"/>
        <w:rPr>
          <w:rFonts w:ascii="Times New Roman" w:hAnsi="Times New Roman" w:cs="Times New Roman"/>
          <w:sz w:val="24"/>
          <w:szCs w:val="24"/>
        </w:rPr>
      </w:pPr>
    </w:p>
    <w:p w14:paraId="46E80E1B" w14:textId="3A69950C" w:rsidR="001F4C90" w:rsidRPr="009027CC" w:rsidRDefault="001F4C90" w:rsidP="001F4C90">
      <w:pPr>
        <w:spacing w:after="0" w:line="240" w:lineRule="auto"/>
        <w:contextualSpacing/>
        <w:jc w:val="both"/>
        <w:rPr>
          <w:rFonts w:ascii="Times New Roman" w:eastAsia="Calibri" w:hAnsi="Times New Roman" w:cs="Times New Roman"/>
          <w:bCs/>
          <w:sz w:val="24"/>
          <w:szCs w:val="24"/>
          <w:lang w:eastAsia="en-GB"/>
        </w:rPr>
      </w:pPr>
      <w:r w:rsidRPr="000E258A">
        <w:rPr>
          <w:rFonts w:ascii="Times New Roman" w:eastAsia="Calibri" w:hAnsi="Times New Roman" w:cs="Times New Roman"/>
          <w:b/>
          <w:sz w:val="24"/>
          <w:szCs w:val="24"/>
          <w:lang w:eastAsia="en-GB"/>
        </w:rPr>
        <w:t xml:space="preserve">Design/Methodology/Approach: </w:t>
      </w:r>
      <w:r w:rsidRPr="000E258A">
        <w:rPr>
          <w:rFonts w:ascii="Times New Roman" w:eastAsia="Calibri" w:hAnsi="Times New Roman" w:cs="Times New Roman"/>
          <w:bCs/>
          <w:sz w:val="24"/>
          <w:szCs w:val="24"/>
          <w:lang w:eastAsia="en-GB"/>
        </w:rPr>
        <w:t>Individuals who left Greece</w:t>
      </w:r>
      <w:r w:rsidR="0086675B" w:rsidRPr="000E258A">
        <w:rPr>
          <w:rFonts w:ascii="Times New Roman" w:eastAsia="Calibri" w:hAnsi="Times New Roman" w:cs="Times New Roman"/>
          <w:bCs/>
          <w:sz w:val="24"/>
          <w:szCs w:val="24"/>
          <w:lang w:eastAsia="en-GB"/>
        </w:rPr>
        <w:t xml:space="preserve"> and </w:t>
      </w:r>
      <w:r w:rsidRPr="000E258A">
        <w:rPr>
          <w:rFonts w:ascii="Times New Roman" w:eastAsia="Calibri" w:hAnsi="Times New Roman" w:cs="Times New Roman"/>
          <w:bCs/>
          <w:sz w:val="24"/>
          <w:szCs w:val="24"/>
          <w:lang w:eastAsia="en-GB"/>
        </w:rPr>
        <w:t>Portugal</w:t>
      </w:r>
      <w:r w:rsidR="0086675B" w:rsidRPr="000E258A">
        <w:rPr>
          <w:rFonts w:ascii="Times New Roman" w:eastAsia="Calibri" w:hAnsi="Times New Roman" w:cs="Times New Roman"/>
          <w:bCs/>
          <w:sz w:val="24"/>
          <w:szCs w:val="24"/>
          <w:lang w:eastAsia="en-GB"/>
        </w:rPr>
        <w:t xml:space="preserve"> for UK </w:t>
      </w:r>
      <w:r w:rsidRPr="000E258A">
        <w:rPr>
          <w:rFonts w:ascii="Times New Roman" w:eastAsia="Calibri" w:hAnsi="Times New Roman" w:cs="Times New Roman"/>
          <w:bCs/>
          <w:sz w:val="24"/>
          <w:szCs w:val="24"/>
          <w:lang w:eastAsia="en-GB"/>
        </w:rPr>
        <w:t xml:space="preserve">were </w:t>
      </w:r>
      <w:r w:rsidRPr="009027CC">
        <w:rPr>
          <w:rFonts w:ascii="Times New Roman" w:eastAsia="Calibri" w:hAnsi="Times New Roman" w:cs="Times New Roman"/>
          <w:bCs/>
          <w:sz w:val="24"/>
          <w:szCs w:val="24"/>
          <w:lang w:eastAsia="en-GB"/>
        </w:rPr>
        <w:t>identified as the target audience of this research. Due to time</w:t>
      </w:r>
      <w:r w:rsidR="003C2F2B" w:rsidRPr="009027CC">
        <w:rPr>
          <w:rFonts w:ascii="Times New Roman" w:eastAsia="Calibri" w:hAnsi="Times New Roman" w:cs="Times New Roman"/>
          <w:bCs/>
          <w:sz w:val="24"/>
          <w:szCs w:val="24"/>
          <w:lang w:eastAsia="en-GB"/>
        </w:rPr>
        <w:t xml:space="preserve"> and access</w:t>
      </w:r>
      <w:r w:rsidRPr="009027CC">
        <w:rPr>
          <w:rFonts w:ascii="Times New Roman" w:eastAsia="Calibri" w:hAnsi="Times New Roman" w:cs="Times New Roman"/>
          <w:bCs/>
          <w:sz w:val="24"/>
          <w:szCs w:val="24"/>
          <w:lang w:eastAsia="en-GB"/>
        </w:rPr>
        <w:t xml:space="preserve"> constraints, web-based social and professional networks proved to offer the best solution in accessing our sample population. The snowball technique was also utilised (recommendations from existing participants). For instance, Facebook was one amongst them by accessing various Greek</w:t>
      </w:r>
      <w:r w:rsidR="008E154E" w:rsidRPr="009027CC">
        <w:rPr>
          <w:rFonts w:ascii="Times New Roman" w:eastAsia="Calibri" w:hAnsi="Times New Roman" w:cs="Times New Roman"/>
          <w:bCs/>
          <w:sz w:val="24"/>
          <w:szCs w:val="24"/>
          <w:lang w:eastAsia="en-GB"/>
        </w:rPr>
        <w:t xml:space="preserve"> and </w:t>
      </w:r>
      <w:r w:rsidRPr="009027CC">
        <w:rPr>
          <w:rFonts w:ascii="Times New Roman" w:eastAsia="Calibri" w:hAnsi="Times New Roman" w:cs="Times New Roman"/>
          <w:bCs/>
          <w:sz w:val="24"/>
          <w:szCs w:val="24"/>
          <w:lang w:eastAsia="en-GB"/>
        </w:rPr>
        <w:t xml:space="preserve">Portuguese community groups. Additionally, several professional sub-groups within Linkedin resulted to higher participation. </w:t>
      </w:r>
      <w:r w:rsidR="003C2F2B" w:rsidRPr="009027CC">
        <w:rPr>
          <w:rFonts w:ascii="Times New Roman" w:eastAsia="Calibri" w:hAnsi="Times New Roman" w:cs="Times New Roman"/>
          <w:bCs/>
          <w:sz w:val="24"/>
          <w:szCs w:val="24"/>
          <w:lang w:eastAsia="en-GB"/>
        </w:rPr>
        <w:t>Further to that, specific levels of integration were suggested (e.g. participants’ intention to stay in the organisation, social support from British colleagues, type of diversity training programmes</w:t>
      </w:r>
      <w:r w:rsidR="00990257" w:rsidRPr="009027CC">
        <w:rPr>
          <w:rFonts w:ascii="Times New Roman" w:eastAsia="Calibri" w:hAnsi="Times New Roman" w:cs="Times New Roman"/>
          <w:bCs/>
          <w:sz w:val="24"/>
          <w:szCs w:val="24"/>
          <w:lang w:eastAsia="en-GB"/>
        </w:rPr>
        <w:t xml:space="preserve">, psychological &amp; work-related distress </w:t>
      </w:r>
      <w:r w:rsidR="003C2F2B" w:rsidRPr="009027CC">
        <w:rPr>
          <w:rFonts w:ascii="Times New Roman" w:eastAsia="Calibri" w:hAnsi="Times New Roman" w:cs="Times New Roman"/>
          <w:bCs/>
          <w:sz w:val="24"/>
          <w:szCs w:val="24"/>
          <w:lang w:eastAsia="en-GB"/>
        </w:rPr>
        <w:t>etc.) so to better evaluate the extent to which diversity training c</w:t>
      </w:r>
      <w:r w:rsidR="003C2F2B" w:rsidRPr="009027CC">
        <w:rPr>
          <w:rFonts w:ascii="Times New Roman" w:hAnsi="Times New Roman" w:cs="Times New Roman"/>
          <w:sz w:val="24"/>
          <w:szCs w:val="24"/>
        </w:rPr>
        <w:t>ould facilitate their social integration at the workplace.</w:t>
      </w:r>
      <w:r w:rsidR="003C2F2B" w:rsidRPr="009027CC">
        <w:rPr>
          <w:rFonts w:ascii="Times New Roman" w:eastAsia="Calibri" w:hAnsi="Times New Roman" w:cs="Times New Roman"/>
          <w:bCs/>
          <w:sz w:val="24"/>
          <w:szCs w:val="24"/>
          <w:lang w:eastAsia="en-GB"/>
        </w:rPr>
        <w:t xml:space="preserve"> </w:t>
      </w:r>
      <w:r w:rsidRPr="009027CC">
        <w:rPr>
          <w:rFonts w:ascii="Times New Roman" w:eastAsia="Calibri" w:hAnsi="Times New Roman" w:cs="Times New Roman"/>
          <w:bCs/>
          <w:sz w:val="24"/>
          <w:szCs w:val="24"/>
          <w:lang w:eastAsia="en-GB"/>
        </w:rPr>
        <w:t xml:space="preserve">So far, </w:t>
      </w:r>
      <w:r w:rsidR="00991096">
        <w:rPr>
          <w:rFonts w:ascii="Times New Roman" w:eastAsia="Calibri" w:hAnsi="Times New Roman" w:cs="Times New Roman"/>
          <w:bCs/>
          <w:sz w:val="24"/>
          <w:szCs w:val="24"/>
          <w:lang w:eastAsia="en-GB"/>
        </w:rPr>
        <w:t>56</w:t>
      </w:r>
      <w:r w:rsidRPr="009027CC">
        <w:rPr>
          <w:rFonts w:ascii="Times New Roman" w:eastAsia="Calibri" w:hAnsi="Times New Roman" w:cs="Times New Roman"/>
          <w:bCs/>
          <w:sz w:val="24"/>
          <w:szCs w:val="24"/>
          <w:lang w:eastAsia="en-GB"/>
        </w:rPr>
        <w:t xml:space="preserve"> people have successfully completed the survey questionnaire, yet with a response rate to be quite low compared to the members within the respective groups.   </w:t>
      </w:r>
    </w:p>
    <w:p w14:paraId="4F7202FD" w14:textId="77777777" w:rsidR="001F4C90" w:rsidRPr="009027CC" w:rsidRDefault="001F4C90" w:rsidP="001F4C90">
      <w:pPr>
        <w:spacing w:after="0" w:line="240" w:lineRule="auto"/>
        <w:contextualSpacing/>
        <w:jc w:val="both"/>
        <w:rPr>
          <w:rFonts w:ascii="Times New Roman" w:eastAsia="Calibri" w:hAnsi="Times New Roman" w:cs="Times New Roman"/>
          <w:bCs/>
          <w:sz w:val="24"/>
          <w:szCs w:val="24"/>
          <w:lang w:eastAsia="en-GB"/>
        </w:rPr>
      </w:pPr>
    </w:p>
    <w:p w14:paraId="63E9944D" w14:textId="7A88C8E0" w:rsidR="001F4C90" w:rsidRPr="009027CC" w:rsidRDefault="001F4C90" w:rsidP="001F4C90">
      <w:pPr>
        <w:spacing w:after="0" w:line="240" w:lineRule="auto"/>
        <w:contextualSpacing/>
        <w:jc w:val="both"/>
        <w:rPr>
          <w:rFonts w:ascii="Times New Roman" w:hAnsi="Times New Roman" w:cs="Times New Roman"/>
          <w:sz w:val="24"/>
          <w:szCs w:val="24"/>
        </w:rPr>
      </w:pPr>
      <w:r w:rsidRPr="009027CC">
        <w:rPr>
          <w:rFonts w:ascii="Times New Roman" w:eastAsia="Calibri" w:hAnsi="Times New Roman" w:cs="Times New Roman"/>
          <w:b/>
          <w:sz w:val="24"/>
          <w:szCs w:val="24"/>
          <w:lang w:eastAsia="en-GB"/>
        </w:rPr>
        <w:t xml:space="preserve">Findings: </w:t>
      </w:r>
      <w:r w:rsidRPr="009027CC">
        <w:rPr>
          <w:rFonts w:ascii="Times New Roman" w:hAnsi="Times New Roman" w:cs="Times New Roman"/>
          <w:sz w:val="24"/>
          <w:szCs w:val="24"/>
        </w:rPr>
        <w:t xml:space="preserve">Research evidence </w:t>
      </w:r>
      <w:r w:rsidR="008E154E" w:rsidRPr="009027CC">
        <w:rPr>
          <w:rFonts w:ascii="Times New Roman" w:hAnsi="Times New Roman" w:cs="Times New Roman"/>
          <w:sz w:val="24"/>
          <w:szCs w:val="24"/>
        </w:rPr>
        <w:t xml:space="preserve">describes </w:t>
      </w:r>
      <w:r w:rsidRPr="009027CC">
        <w:rPr>
          <w:rFonts w:ascii="Times New Roman" w:hAnsi="Times New Roman" w:cs="Times New Roman"/>
          <w:sz w:val="24"/>
          <w:szCs w:val="24"/>
        </w:rPr>
        <w:t>“brain-</w:t>
      </w:r>
      <w:r w:rsidR="009027CC" w:rsidRPr="009027CC">
        <w:rPr>
          <w:rFonts w:ascii="Times New Roman" w:hAnsi="Times New Roman" w:cs="Times New Roman"/>
          <w:sz w:val="24"/>
          <w:szCs w:val="24"/>
        </w:rPr>
        <w:t>drain</w:t>
      </w:r>
      <w:r w:rsidRPr="009027CC">
        <w:rPr>
          <w:rFonts w:ascii="Times New Roman" w:hAnsi="Times New Roman" w:cs="Times New Roman"/>
          <w:sz w:val="24"/>
          <w:szCs w:val="24"/>
        </w:rPr>
        <w:t xml:space="preserve">” as an intriguing and important issue both within the organisational and national contexts. </w:t>
      </w:r>
      <w:r w:rsidR="00867924" w:rsidRPr="009027CC">
        <w:rPr>
          <w:rFonts w:ascii="Times New Roman" w:hAnsi="Times New Roman" w:cs="Times New Roman"/>
          <w:sz w:val="24"/>
          <w:szCs w:val="24"/>
        </w:rPr>
        <w:t>The findings of this study indicate that crisis, low wages, and limited career advancement opportunities are amongst the most important reasons reported by respondents.</w:t>
      </w:r>
      <w:r w:rsidR="00635BED" w:rsidRPr="009027CC">
        <w:rPr>
          <w:rFonts w:ascii="Times New Roman" w:hAnsi="Times New Roman" w:cs="Times New Roman"/>
          <w:sz w:val="24"/>
          <w:szCs w:val="24"/>
        </w:rPr>
        <w:t xml:space="preserve"> On one hand, research participants reported an overall mediocre or inexistent diversity training programmes implemented within their workplaces. As a result, their social integration was difficult, with some participants indicating high levels of marginalisation within the workplace. </w:t>
      </w:r>
      <w:r w:rsidRPr="009027CC">
        <w:rPr>
          <w:rFonts w:ascii="Times New Roman" w:hAnsi="Times New Roman" w:cs="Times New Roman"/>
          <w:sz w:val="24"/>
          <w:szCs w:val="24"/>
        </w:rPr>
        <w:t xml:space="preserve">In contrary, there were others suggesting that diversity training have offered them the social support being required to effectively integrate within the organisational and work settings. </w:t>
      </w:r>
      <w:r w:rsidR="00DF301C" w:rsidRPr="009027CC">
        <w:rPr>
          <w:rFonts w:ascii="Times New Roman" w:hAnsi="Times New Roman" w:cs="Times New Roman"/>
          <w:sz w:val="24"/>
          <w:szCs w:val="24"/>
        </w:rPr>
        <w:t xml:space="preserve">A large majority of our research participants outlined the importance of diversity training as a means of social integration at work. </w:t>
      </w:r>
      <w:r w:rsidRPr="009027CC">
        <w:rPr>
          <w:rFonts w:ascii="Times New Roman" w:hAnsi="Times New Roman" w:cs="Times New Roman"/>
          <w:sz w:val="24"/>
          <w:szCs w:val="24"/>
        </w:rPr>
        <w:t xml:space="preserve">To this extent, the research could make a strong argument that diversity training can be viewed as a means </w:t>
      </w:r>
      <w:r w:rsidR="00D83065" w:rsidRPr="009027CC">
        <w:rPr>
          <w:rFonts w:ascii="Times New Roman" w:hAnsi="Times New Roman" w:cs="Times New Roman"/>
          <w:sz w:val="24"/>
          <w:szCs w:val="24"/>
        </w:rPr>
        <w:t>to better integrate migrant workers at the workplace.</w:t>
      </w:r>
      <w:r w:rsidRPr="009027CC">
        <w:rPr>
          <w:rFonts w:ascii="Times New Roman" w:hAnsi="Times New Roman" w:cs="Times New Roman"/>
          <w:sz w:val="24"/>
          <w:szCs w:val="24"/>
        </w:rPr>
        <w:t xml:space="preserve"> </w:t>
      </w:r>
    </w:p>
    <w:p w14:paraId="12EB397F" w14:textId="77777777" w:rsidR="001F4C90" w:rsidRPr="000E258A" w:rsidRDefault="001F4C90" w:rsidP="001F4C90">
      <w:pPr>
        <w:spacing w:after="0" w:line="240" w:lineRule="auto"/>
        <w:contextualSpacing/>
        <w:jc w:val="both"/>
        <w:rPr>
          <w:rFonts w:ascii="Times New Roman" w:hAnsi="Times New Roman" w:cs="Times New Roman"/>
          <w:sz w:val="24"/>
          <w:szCs w:val="24"/>
        </w:rPr>
      </w:pPr>
    </w:p>
    <w:p w14:paraId="650989B6" w14:textId="52A415F6" w:rsidR="001F4C90" w:rsidRPr="009027CC" w:rsidRDefault="001F4C90" w:rsidP="001F4C90">
      <w:pPr>
        <w:spacing w:after="0" w:line="240" w:lineRule="auto"/>
        <w:contextualSpacing/>
        <w:jc w:val="both"/>
        <w:rPr>
          <w:rFonts w:ascii="Times New Roman" w:hAnsi="Times New Roman" w:cs="Times New Roman"/>
          <w:sz w:val="24"/>
          <w:szCs w:val="24"/>
        </w:rPr>
      </w:pPr>
      <w:r w:rsidRPr="009027CC">
        <w:rPr>
          <w:rFonts w:ascii="Times New Roman" w:eastAsia="Calibri" w:hAnsi="Times New Roman" w:cs="Times New Roman"/>
          <w:b/>
          <w:sz w:val="24"/>
          <w:szCs w:val="24"/>
          <w:lang w:eastAsia="en-GB"/>
        </w:rPr>
        <w:t xml:space="preserve">Originality/Value: </w:t>
      </w:r>
      <w:r w:rsidR="00B4445F" w:rsidRPr="009027CC">
        <w:rPr>
          <w:rFonts w:ascii="Times New Roman" w:hAnsi="Times New Roman" w:cs="Times New Roman"/>
          <w:sz w:val="24"/>
          <w:szCs w:val="24"/>
        </w:rPr>
        <w:t xml:space="preserve">The research </w:t>
      </w:r>
      <w:r w:rsidRPr="009027CC">
        <w:rPr>
          <w:rFonts w:ascii="Times New Roman" w:hAnsi="Times New Roman" w:cs="Times New Roman"/>
          <w:sz w:val="24"/>
          <w:szCs w:val="24"/>
        </w:rPr>
        <w:t>is expected to offer both theoretical and practical recommendations.</w:t>
      </w:r>
      <w:r w:rsidR="00375E80" w:rsidRPr="009027CC">
        <w:rPr>
          <w:rFonts w:ascii="Times New Roman" w:hAnsi="Times New Roman" w:cs="Times New Roman"/>
          <w:sz w:val="24"/>
          <w:szCs w:val="24"/>
        </w:rPr>
        <w:t xml:space="preserve"> The paper offers an association between the “social integration” paradigm and the institutional perspective by suggesting that </w:t>
      </w:r>
      <w:r w:rsidR="00F629AF" w:rsidRPr="009027CC">
        <w:rPr>
          <w:rFonts w:ascii="Times New Roman" w:hAnsi="Times New Roman" w:cs="Times New Roman"/>
          <w:sz w:val="24"/>
          <w:szCs w:val="24"/>
        </w:rPr>
        <w:t xml:space="preserve">the two elements of </w:t>
      </w:r>
      <w:r w:rsidR="00375E80" w:rsidRPr="009027CC">
        <w:rPr>
          <w:rFonts w:ascii="Times New Roman" w:hAnsi="Times New Roman" w:cs="Times New Roman"/>
          <w:sz w:val="24"/>
          <w:szCs w:val="24"/>
        </w:rPr>
        <w:t xml:space="preserve">social integration </w:t>
      </w:r>
      <w:r w:rsidR="00F629AF" w:rsidRPr="009027CC">
        <w:rPr>
          <w:rFonts w:ascii="Times New Roman" w:hAnsi="Times New Roman" w:cs="Times New Roman"/>
          <w:sz w:val="24"/>
          <w:szCs w:val="24"/>
        </w:rPr>
        <w:t xml:space="preserve">at work (e.g. social connectedness &amp; work context) </w:t>
      </w:r>
      <w:r w:rsidR="00375E80" w:rsidRPr="009027CC">
        <w:rPr>
          <w:rFonts w:ascii="Times New Roman" w:hAnsi="Times New Roman" w:cs="Times New Roman"/>
          <w:sz w:val="24"/>
          <w:szCs w:val="24"/>
        </w:rPr>
        <w:t xml:space="preserve">can facilitate </w:t>
      </w:r>
      <w:r w:rsidR="00F629AF" w:rsidRPr="009027CC">
        <w:rPr>
          <w:rFonts w:ascii="Times New Roman" w:hAnsi="Times New Roman" w:cs="Times New Roman"/>
          <w:sz w:val="24"/>
          <w:szCs w:val="24"/>
        </w:rPr>
        <w:t xml:space="preserve">migrant workers’ </w:t>
      </w:r>
      <w:r w:rsidR="00375E80" w:rsidRPr="009027CC">
        <w:rPr>
          <w:rFonts w:ascii="Times New Roman" w:hAnsi="Times New Roman" w:cs="Times New Roman"/>
          <w:sz w:val="24"/>
          <w:szCs w:val="24"/>
        </w:rPr>
        <w:t xml:space="preserve">social integration at work, </w:t>
      </w:r>
      <w:r w:rsidR="00F629AF" w:rsidRPr="009027CC">
        <w:rPr>
          <w:rFonts w:ascii="Times New Roman" w:hAnsi="Times New Roman" w:cs="Times New Roman"/>
          <w:sz w:val="24"/>
          <w:szCs w:val="24"/>
        </w:rPr>
        <w:t xml:space="preserve">while </w:t>
      </w:r>
      <w:r w:rsidR="006A7069" w:rsidRPr="009027CC">
        <w:rPr>
          <w:rFonts w:ascii="Times New Roman" w:hAnsi="Times New Roman" w:cs="Times New Roman"/>
          <w:sz w:val="24"/>
          <w:szCs w:val="24"/>
        </w:rPr>
        <w:t>concurrently to</w:t>
      </w:r>
      <w:r w:rsidR="00375E80" w:rsidRPr="009027CC">
        <w:rPr>
          <w:rFonts w:ascii="Times New Roman" w:hAnsi="Times New Roman" w:cs="Times New Roman"/>
          <w:sz w:val="24"/>
          <w:szCs w:val="24"/>
        </w:rPr>
        <w:t xml:space="preserve"> eliminate its negative </w:t>
      </w:r>
      <w:r w:rsidR="006A7069" w:rsidRPr="009027CC">
        <w:rPr>
          <w:rFonts w:ascii="Times New Roman" w:hAnsi="Times New Roman" w:cs="Times New Roman"/>
          <w:sz w:val="24"/>
          <w:szCs w:val="24"/>
        </w:rPr>
        <w:t>aspects. A</w:t>
      </w:r>
      <w:r w:rsidRPr="009027CC">
        <w:rPr>
          <w:rFonts w:ascii="Times New Roman" w:hAnsi="Times New Roman" w:cs="Times New Roman"/>
          <w:sz w:val="24"/>
          <w:szCs w:val="24"/>
        </w:rPr>
        <w:t xml:space="preserve"> brain-</w:t>
      </w:r>
      <w:r w:rsidR="009027CC" w:rsidRPr="009027CC">
        <w:rPr>
          <w:rFonts w:ascii="Times New Roman" w:hAnsi="Times New Roman" w:cs="Times New Roman"/>
          <w:sz w:val="24"/>
          <w:szCs w:val="24"/>
        </w:rPr>
        <w:t>mobility</w:t>
      </w:r>
      <w:r w:rsidRPr="009027CC">
        <w:rPr>
          <w:rFonts w:ascii="Times New Roman" w:hAnsi="Times New Roman" w:cs="Times New Roman"/>
          <w:sz w:val="24"/>
          <w:szCs w:val="24"/>
        </w:rPr>
        <w:t xml:space="preserve"> process has dominated the headlines of most global media over the last 9-10 years, since the global financial crisis</w:t>
      </w:r>
      <w:r w:rsidR="006A7069" w:rsidRPr="009027CC">
        <w:rPr>
          <w:rFonts w:ascii="Times New Roman" w:hAnsi="Times New Roman" w:cs="Times New Roman"/>
          <w:sz w:val="24"/>
          <w:szCs w:val="24"/>
        </w:rPr>
        <w:t xml:space="preserve"> commenced</w:t>
      </w:r>
      <w:r w:rsidRPr="009027CC">
        <w:rPr>
          <w:rFonts w:ascii="Times New Roman" w:hAnsi="Times New Roman" w:cs="Times New Roman"/>
          <w:sz w:val="24"/>
          <w:szCs w:val="24"/>
        </w:rPr>
        <w:t xml:space="preserve">. Final research findings and suggestions could constitute the starting point of future research within different national contexts; thus, to offer a comparison amongst people and nations over the phenomenon under investigation. </w:t>
      </w:r>
    </w:p>
    <w:p w14:paraId="39F4FD62" w14:textId="77777777" w:rsidR="001F4C90" w:rsidRPr="009027CC" w:rsidRDefault="001F4C90" w:rsidP="001F4C90">
      <w:pPr>
        <w:spacing w:after="0" w:line="240" w:lineRule="auto"/>
        <w:contextualSpacing/>
        <w:rPr>
          <w:rFonts w:ascii="Times New Roman" w:eastAsia="Calibri" w:hAnsi="Times New Roman" w:cs="Times New Roman"/>
          <w:b/>
          <w:sz w:val="24"/>
          <w:szCs w:val="24"/>
          <w:lang w:eastAsia="en-GB"/>
        </w:rPr>
      </w:pPr>
    </w:p>
    <w:p w14:paraId="06A97285" w14:textId="6A866FC3" w:rsidR="001F4C90" w:rsidRPr="009027CC" w:rsidRDefault="001F4C90" w:rsidP="001F4C90">
      <w:pPr>
        <w:spacing w:after="0" w:line="240" w:lineRule="auto"/>
        <w:contextualSpacing/>
        <w:jc w:val="both"/>
        <w:rPr>
          <w:rFonts w:ascii="Times New Roman" w:eastAsia="Calibri" w:hAnsi="Times New Roman" w:cs="Times New Roman"/>
          <w:sz w:val="24"/>
          <w:szCs w:val="24"/>
          <w:lang w:eastAsia="en-GB"/>
        </w:rPr>
      </w:pPr>
      <w:r w:rsidRPr="009027CC">
        <w:rPr>
          <w:rFonts w:ascii="Times New Roman" w:eastAsia="Calibri" w:hAnsi="Times New Roman" w:cs="Times New Roman"/>
          <w:b/>
          <w:sz w:val="24"/>
          <w:szCs w:val="24"/>
          <w:lang w:eastAsia="en-GB"/>
        </w:rPr>
        <w:t xml:space="preserve">Keywords: </w:t>
      </w:r>
      <w:r w:rsidRPr="009027CC">
        <w:rPr>
          <w:rFonts w:ascii="Times New Roman" w:eastAsia="Calibri" w:hAnsi="Times New Roman" w:cs="Times New Roman"/>
          <w:bCs/>
          <w:sz w:val="24"/>
          <w:szCs w:val="24"/>
          <w:lang w:eastAsia="en-GB"/>
        </w:rPr>
        <w:t xml:space="preserve">Brain </w:t>
      </w:r>
      <w:r w:rsidR="009027CC" w:rsidRPr="009027CC">
        <w:rPr>
          <w:rFonts w:ascii="Times New Roman" w:eastAsia="Calibri" w:hAnsi="Times New Roman" w:cs="Times New Roman"/>
          <w:bCs/>
          <w:sz w:val="24"/>
          <w:szCs w:val="24"/>
          <w:lang w:eastAsia="en-GB"/>
        </w:rPr>
        <w:t>Drain</w:t>
      </w:r>
      <w:r w:rsidRPr="009027CC">
        <w:rPr>
          <w:rFonts w:ascii="Times New Roman" w:eastAsia="Calibri" w:hAnsi="Times New Roman" w:cs="Times New Roman"/>
          <w:bCs/>
          <w:sz w:val="24"/>
          <w:szCs w:val="24"/>
          <w:lang w:eastAsia="en-GB"/>
        </w:rPr>
        <w:t>, Work Migration, Diversity Training, Diversity at the workplace</w:t>
      </w:r>
      <w:r w:rsidRPr="009027CC">
        <w:rPr>
          <w:rFonts w:ascii="Times New Roman" w:eastAsia="Calibri" w:hAnsi="Times New Roman" w:cs="Times New Roman"/>
          <w:sz w:val="24"/>
          <w:szCs w:val="24"/>
          <w:lang w:eastAsia="en-GB"/>
        </w:rPr>
        <w:t>.</w:t>
      </w:r>
    </w:p>
    <w:p w14:paraId="49B14BC4" w14:textId="77777777" w:rsidR="00302285" w:rsidRDefault="00302285" w:rsidP="001F4C90">
      <w:pPr>
        <w:spacing w:after="0" w:line="240" w:lineRule="auto"/>
        <w:contextualSpacing/>
        <w:rPr>
          <w:rFonts w:ascii="Times New Roman" w:eastAsia="Calibri" w:hAnsi="Times New Roman" w:cs="Times New Roman"/>
          <w:b/>
          <w:bCs/>
          <w:sz w:val="28"/>
          <w:szCs w:val="28"/>
          <w:lang w:eastAsia="en-GB"/>
        </w:rPr>
      </w:pPr>
    </w:p>
    <w:p w14:paraId="76147125" w14:textId="77777777" w:rsidR="00302285" w:rsidRDefault="00302285" w:rsidP="001F4C90">
      <w:pPr>
        <w:spacing w:after="0" w:line="240" w:lineRule="auto"/>
        <w:contextualSpacing/>
        <w:rPr>
          <w:rFonts w:ascii="Times New Roman" w:eastAsia="Calibri" w:hAnsi="Times New Roman" w:cs="Times New Roman"/>
          <w:b/>
          <w:bCs/>
          <w:sz w:val="28"/>
          <w:szCs w:val="28"/>
          <w:lang w:eastAsia="en-GB"/>
        </w:rPr>
      </w:pPr>
    </w:p>
    <w:p w14:paraId="2D9B0A98" w14:textId="31B489BA" w:rsidR="001F4C90" w:rsidRPr="00786EE6" w:rsidRDefault="001F4C90" w:rsidP="001F4C90">
      <w:pPr>
        <w:spacing w:after="0" w:line="240" w:lineRule="auto"/>
        <w:contextualSpacing/>
        <w:rPr>
          <w:rFonts w:ascii="Times New Roman" w:eastAsia="Calibri" w:hAnsi="Times New Roman" w:cs="Times New Roman"/>
          <w:b/>
          <w:bCs/>
          <w:sz w:val="28"/>
          <w:szCs w:val="28"/>
          <w:lang w:eastAsia="en-GB"/>
        </w:rPr>
      </w:pPr>
      <w:r w:rsidRPr="00786EE6">
        <w:rPr>
          <w:rFonts w:ascii="Times New Roman" w:eastAsia="Calibri" w:hAnsi="Times New Roman" w:cs="Times New Roman"/>
          <w:b/>
          <w:bCs/>
          <w:sz w:val="28"/>
          <w:szCs w:val="28"/>
          <w:lang w:eastAsia="en-GB"/>
        </w:rPr>
        <w:lastRenderedPageBreak/>
        <w:t>Introduction</w:t>
      </w:r>
    </w:p>
    <w:p w14:paraId="2FF23E7D" w14:textId="12E12528" w:rsidR="001F4C90" w:rsidRPr="00A34545" w:rsidRDefault="001F4C90" w:rsidP="001F4C90">
      <w:pPr>
        <w:autoSpaceDE w:val="0"/>
        <w:autoSpaceDN w:val="0"/>
        <w:adjustRightInd w:val="0"/>
        <w:spacing w:after="0" w:line="240" w:lineRule="auto"/>
        <w:contextualSpacing/>
        <w:jc w:val="both"/>
        <w:rPr>
          <w:rFonts w:ascii="Times New Roman" w:eastAsiaTheme="minorEastAsia" w:hAnsi="Times New Roman" w:cs="Times New Roman"/>
          <w:sz w:val="24"/>
          <w:szCs w:val="24"/>
          <w:lang w:eastAsia="zh-CN"/>
        </w:rPr>
      </w:pPr>
      <w:r w:rsidRPr="00A34545">
        <w:rPr>
          <w:rFonts w:ascii="Times New Roman" w:hAnsi="Times New Roman" w:cs="Times New Roman"/>
          <w:sz w:val="24"/>
          <w:szCs w:val="24"/>
        </w:rPr>
        <w:t>The “brain-</w:t>
      </w:r>
      <w:r w:rsidR="00A34545" w:rsidRPr="00A34545">
        <w:rPr>
          <w:rFonts w:ascii="Times New Roman" w:hAnsi="Times New Roman" w:cs="Times New Roman"/>
          <w:sz w:val="24"/>
          <w:szCs w:val="24"/>
        </w:rPr>
        <w:t>drain</w:t>
      </w:r>
      <w:r w:rsidRPr="00A34545">
        <w:rPr>
          <w:rFonts w:ascii="Times New Roman" w:hAnsi="Times New Roman" w:cs="Times New Roman"/>
          <w:sz w:val="24"/>
          <w:szCs w:val="24"/>
        </w:rPr>
        <w:t xml:space="preserve">” phenomenon is not a current trend, yet </w:t>
      </w:r>
      <w:r w:rsidRPr="00A34545">
        <w:rPr>
          <w:rFonts w:ascii="Times New Roman" w:eastAsiaTheme="minorEastAsia" w:hAnsi="Times New Roman" w:cs="Times New Roman"/>
          <w:sz w:val="24"/>
          <w:szCs w:val="24"/>
          <w:lang w:eastAsia="zh-CN"/>
        </w:rPr>
        <w:t>it has become more intense in recent years</w:t>
      </w:r>
      <w:r w:rsidRPr="00A34545">
        <w:rPr>
          <w:rFonts w:ascii="Times New Roman" w:hAnsi="Times New Roman" w:cs="Times New Roman"/>
          <w:sz w:val="24"/>
          <w:szCs w:val="24"/>
        </w:rPr>
        <w:t xml:space="preserve"> </w:t>
      </w:r>
      <w:r w:rsidR="00A11F68" w:rsidRPr="00A34545">
        <w:rPr>
          <w:rFonts w:ascii="Times New Roman" w:hAnsi="Times New Roman" w:cs="Times New Roman"/>
          <w:sz w:val="24"/>
          <w:szCs w:val="24"/>
        </w:rPr>
        <w:t xml:space="preserve">particularly due </w:t>
      </w:r>
      <w:r w:rsidRPr="00A34545">
        <w:rPr>
          <w:rFonts w:ascii="Times New Roman" w:hAnsi="Times New Roman" w:cs="Times New Roman"/>
          <w:sz w:val="24"/>
          <w:szCs w:val="24"/>
        </w:rPr>
        <w:t>to the global economic crisis</w:t>
      </w:r>
      <w:r w:rsidR="00A11F68" w:rsidRPr="00A34545">
        <w:rPr>
          <w:rFonts w:ascii="Times New Roman" w:hAnsi="Times New Roman" w:cs="Times New Roman"/>
          <w:sz w:val="24"/>
          <w:szCs w:val="24"/>
        </w:rPr>
        <w:t>.</w:t>
      </w:r>
      <w:r w:rsidRPr="00A34545">
        <w:rPr>
          <w:rFonts w:ascii="Times New Roman" w:hAnsi="Times New Roman" w:cs="Times New Roman"/>
          <w:sz w:val="24"/>
          <w:szCs w:val="24"/>
        </w:rPr>
        <w:t xml:space="preserve"> </w:t>
      </w:r>
      <w:r w:rsidRPr="00A34545">
        <w:rPr>
          <w:rFonts w:ascii="Times New Roman" w:eastAsiaTheme="minorEastAsia" w:hAnsi="Times New Roman" w:cs="Times New Roman"/>
          <w:sz w:val="24"/>
          <w:szCs w:val="24"/>
          <w:lang w:eastAsia="zh-CN"/>
        </w:rPr>
        <w:t xml:space="preserve">In the last few decades, many nations have been hit by this </w:t>
      </w:r>
      <w:r w:rsidR="00A11F68" w:rsidRPr="00A34545">
        <w:rPr>
          <w:rFonts w:ascii="Times New Roman" w:hAnsi="Times New Roman" w:cs="Times New Roman"/>
          <w:sz w:val="24"/>
          <w:szCs w:val="24"/>
        </w:rPr>
        <w:t xml:space="preserve">workforce mobility </w:t>
      </w:r>
      <w:r w:rsidRPr="00A34545">
        <w:rPr>
          <w:rFonts w:ascii="Times New Roman" w:hAnsi="Times New Roman" w:cs="Times New Roman"/>
          <w:sz w:val="24"/>
          <w:szCs w:val="24"/>
        </w:rPr>
        <w:t xml:space="preserve">which </w:t>
      </w:r>
      <w:r w:rsidR="00A11F68" w:rsidRPr="00A34545">
        <w:rPr>
          <w:rFonts w:ascii="Times New Roman" w:hAnsi="Times New Roman" w:cs="Times New Roman"/>
          <w:sz w:val="24"/>
          <w:szCs w:val="24"/>
        </w:rPr>
        <w:t xml:space="preserve">resulted to a </w:t>
      </w:r>
      <w:r w:rsidRPr="00A34545">
        <w:rPr>
          <w:rFonts w:ascii="Times New Roman" w:hAnsi="Times New Roman" w:cs="Times New Roman"/>
          <w:sz w:val="24"/>
          <w:szCs w:val="24"/>
        </w:rPr>
        <w:t xml:space="preserve">growing demand of highly-skilled individuals </w:t>
      </w:r>
      <w:r w:rsidR="00A11F68" w:rsidRPr="00A34545">
        <w:rPr>
          <w:rFonts w:ascii="Times New Roman" w:hAnsi="Times New Roman" w:cs="Times New Roman"/>
          <w:sz w:val="24"/>
          <w:szCs w:val="24"/>
        </w:rPr>
        <w:t>beyond</w:t>
      </w:r>
      <w:r w:rsidRPr="00A34545">
        <w:rPr>
          <w:rFonts w:ascii="Times New Roman" w:hAnsi="Times New Roman" w:cs="Times New Roman"/>
          <w:sz w:val="24"/>
          <w:szCs w:val="24"/>
        </w:rPr>
        <w:t xml:space="preserve"> national borders </w:t>
      </w:r>
      <w:r w:rsidRPr="00A34545">
        <w:rPr>
          <w:rFonts w:ascii="Times New Roman" w:eastAsiaTheme="minorEastAsia" w:hAnsi="Times New Roman" w:cs="Times New Roman"/>
          <w:sz w:val="24"/>
          <w:szCs w:val="24"/>
          <w:lang w:eastAsia="zh-CN"/>
        </w:rPr>
        <w:t>(</w:t>
      </w:r>
      <w:r w:rsidRPr="00A34545">
        <w:rPr>
          <w:rFonts w:ascii="Times New Roman" w:hAnsi="Times New Roman" w:cs="Times New Roman"/>
          <w:sz w:val="24"/>
          <w:szCs w:val="24"/>
        </w:rPr>
        <w:t xml:space="preserve">Mitsiniotou, 2016; Theodoropoulos et al., 2014; Hadjimatheou, 2012; </w:t>
      </w:r>
      <w:r w:rsidRPr="00A34545">
        <w:rPr>
          <w:rFonts w:ascii="Times New Roman" w:eastAsiaTheme="minorEastAsia" w:hAnsi="Times New Roman" w:cs="Times New Roman"/>
          <w:sz w:val="24"/>
          <w:szCs w:val="24"/>
          <w:lang w:eastAsia="zh-CN"/>
        </w:rPr>
        <w:t>Gurria, 2011).</w:t>
      </w:r>
    </w:p>
    <w:p w14:paraId="7B541002" w14:textId="77777777" w:rsidR="001F4C90" w:rsidRPr="00A34545" w:rsidRDefault="001F4C90" w:rsidP="001F4C90">
      <w:pPr>
        <w:autoSpaceDE w:val="0"/>
        <w:autoSpaceDN w:val="0"/>
        <w:adjustRightInd w:val="0"/>
        <w:spacing w:after="0" w:line="240" w:lineRule="auto"/>
        <w:contextualSpacing/>
        <w:jc w:val="both"/>
        <w:rPr>
          <w:rFonts w:ascii="Times New Roman" w:eastAsiaTheme="minorEastAsia" w:hAnsi="Times New Roman" w:cs="Times New Roman"/>
          <w:sz w:val="24"/>
          <w:szCs w:val="24"/>
          <w:lang w:eastAsia="zh-CN"/>
        </w:rPr>
      </w:pPr>
    </w:p>
    <w:p w14:paraId="62F70B52" w14:textId="036CF781" w:rsidR="001F4C90" w:rsidRPr="00A34545" w:rsidRDefault="001F4C90" w:rsidP="001F4C90">
      <w:pPr>
        <w:autoSpaceDE w:val="0"/>
        <w:autoSpaceDN w:val="0"/>
        <w:adjustRightInd w:val="0"/>
        <w:spacing w:after="0" w:line="240" w:lineRule="auto"/>
        <w:jc w:val="both"/>
        <w:rPr>
          <w:rFonts w:ascii="Times New Roman" w:hAnsi="Times New Roman" w:cs="Times New Roman"/>
          <w:sz w:val="24"/>
          <w:szCs w:val="24"/>
        </w:rPr>
      </w:pPr>
      <w:r w:rsidRPr="00A34545">
        <w:rPr>
          <w:rFonts w:ascii="Times New Roman" w:eastAsiaTheme="minorEastAsia" w:hAnsi="Times New Roman" w:cs="Times New Roman"/>
          <w:sz w:val="24"/>
          <w:szCs w:val="24"/>
          <w:lang w:eastAsia="zh-CN"/>
        </w:rPr>
        <w:t xml:space="preserve">Various authors suggest that in times of this new skill migration era, </w:t>
      </w:r>
      <w:r w:rsidR="00A11F68" w:rsidRPr="00A34545">
        <w:rPr>
          <w:rFonts w:ascii="Times New Roman" w:eastAsiaTheme="minorEastAsia" w:hAnsi="Times New Roman" w:cs="Times New Roman"/>
          <w:sz w:val="24"/>
          <w:szCs w:val="24"/>
          <w:lang w:eastAsia="zh-CN"/>
        </w:rPr>
        <w:t>workforce</w:t>
      </w:r>
      <w:r w:rsidRPr="00A34545">
        <w:rPr>
          <w:rFonts w:ascii="Times New Roman" w:eastAsiaTheme="minorEastAsia" w:hAnsi="Times New Roman" w:cs="Times New Roman"/>
          <w:sz w:val="24"/>
          <w:szCs w:val="24"/>
          <w:lang w:eastAsia="zh-CN"/>
        </w:rPr>
        <w:t xml:space="preserve"> migration can be regarded as “</w:t>
      </w:r>
      <w:r w:rsidRPr="00A34545">
        <w:rPr>
          <w:rFonts w:ascii="Times New Roman" w:eastAsia="Ottawa" w:hAnsi="Times New Roman" w:cs="Times New Roman"/>
          <w:sz w:val="24"/>
          <w:szCs w:val="24"/>
          <w:lang w:eastAsia="zh-CN"/>
        </w:rPr>
        <w:t xml:space="preserve">a jigsaw piece in the strategy to counteract brain-drain” (David et al., 2012: 25; Harvey, 2012). Therefore, brain-exchange </w:t>
      </w:r>
      <w:r w:rsidR="00A11F68" w:rsidRPr="00A34545">
        <w:rPr>
          <w:rFonts w:ascii="Times New Roman" w:eastAsia="Ottawa" w:hAnsi="Times New Roman" w:cs="Times New Roman"/>
          <w:sz w:val="24"/>
          <w:szCs w:val="24"/>
          <w:lang w:eastAsia="zh-CN"/>
        </w:rPr>
        <w:t>could offer benefits both for the parent and</w:t>
      </w:r>
      <w:r w:rsidR="00235DE2" w:rsidRPr="00A34545">
        <w:rPr>
          <w:rFonts w:ascii="Times New Roman" w:eastAsia="Ottawa" w:hAnsi="Times New Roman" w:cs="Times New Roman"/>
          <w:sz w:val="24"/>
          <w:szCs w:val="24"/>
          <w:lang w:eastAsia="zh-CN"/>
        </w:rPr>
        <w:t xml:space="preserve"> the</w:t>
      </w:r>
      <w:r w:rsidR="00A11F68" w:rsidRPr="00A34545">
        <w:rPr>
          <w:rFonts w:ascii="Times New Roman" w:eastAsia="Ottawa" w:hAnsi="Times New Roman" w:cs="Times New Roman"/>
          <w:sz w:val="24"/>
          <w:szCs w:val="24"/>
          <w:lang w:eastAsia="zh-CN"/>
        </w:rPr>
        <w:t xml:space="preserve"> host </w:t>
      </w:r>
      <w:r w:rsidR="00235DE2" w:rsidRPr="00A34545">
        <w:rPr>
          <w:rFonts w:ascii="Times New Roman" w:eastAsia="Ottawa" w:hAnsi="Times New Roman" w:cs="Times New Roman"/>
          <w:sz w:val="24"/>
          <w:szCs w:val="24"/>
          <w:lang w:eastAsia="zh-CN"/>
        </w:rPr>
        <w:t xml:space="preserve">country in terms of </w:t>
      </w:r>
      <w:r w:rsidRPr="00A34545">
        <w:rPr>
          <w:rFonts w:ascii="Times New Roman" w:eastAsia="Ottawa" w:hAnsi="Times New Roman" w:cs="Times New Roman"/>
          <w:sz w:val="24"/>
          <w:szCs w:val="24"/>
          <w:lang w:eastAsia="zh-CN"/>
        </w:rPr>
        <w:t>knowledge, training and skills</w:t>
      </w:r>
      <w:r w:rsidR="00235DE2" w:rsidRPr="00A34545">
        <w:rPr>
          <w:rFonts w:ascii="Times New Roman" w:eastAsia="Ottawa" w:hAnsi="Times New Roman" w:cs="Times New Roman"/>
          <w:sz w:val="24"/>
          <w:szCs w:val="24"/>
          <w:lang w:eastAsia="zh-CN"/>
        </w:rPr>
        <w:t>/</w:t>
      </w:r>
      <w:r w:rsidRPr="00A34545">
        <w:rPr>
          <w:rFonts w:ascii="Times New Roman" w:eastAsia="Ottawa" w:hAnsi="Times New Roman" w:cs="Times New Roman"/>
          <w:sz w:val="24"/>
          <w:szCs w:val="24"/>
          <w:lang w:eastAsia="zh-CN"/>
        </w:rPr>
        <w:t>expertise</w:t>
      </w:r>
      <w:r w:rsidR="00235DE2" w:rsidRPr="00A34545">
        <w:rPr>
          <w:rFonts w:ascii="Times New Roman" w:eastAsia="Ottawa" w:hAnsi="Times New Roman" w:cs="Times New Roman"/>
          <w:sz w:val="24"/>
          <w:szCs w:val="24"/>
          <w:lang w:eastAsia="zh-CN"/>
        </w:rPr>
        <w:t xml:space="preserve"> reciprocation (</w:t>
      </w:r>
      <w:r w:rsidRPr="00A34545">
        <w:rPr>
          <w:rFonts w:ascii="Times New Roman" w:eastAsia="Ottawa" w:hAnsi="Times New Roman" w:cs="Times New Roman"/>
          <w:sz w:val="24"/>
          <w:szCs w:val="24"/>
          <w:lang w:eastAsia="zh-CN"/>
        </w:rPr>
        <w:t>Marinakou et al., 2016). Eventually, it may take the form of a temporary brain-loss which will be compensated by a corresponding brain-gain (ibid).</w:t>
      </w:r>
      <w:r w:rsidR="009C6D90">
        <w:rPr>
          <w:rFonts w:ascii="Times New Roman" w:eastAsia="Ottawa" w:hAnsi="Times New Roman" w:cs="Times New Roman"/>
          <w:sz w:val="24"/>
          <w:szCs w:val="24"/>
          <w:lang w:eastAsia="zh-CN"/>
        </w:rPr>
        <w:t xml:space="preserve"> Concurrently, </w:t>
      </w:r>
      <w:r w:rsidRPr="00A34545">
        <w:rPr>
          <w:rFonts w:ascii="Times New Roman" w:eastAsia="Ottawa" w:hAnsi="Times New Roman" w:cs="Times New Roman"/>
          <w:sz w:val="24"/>
          <w:szCs w:val="24"/>
          <w:lang w:eastAsia="zh-CN"/>
        </w:rPr>
        <w:t>we also need to consider that brain-migration might differ from one country to another, and from time to time, as that being suggested by Iravani (2011).</w:t>
      </w:r>
    </w:p>
    <w:p w14:paraId="3A7A2686" w14:textId="77777777" w:rsidR="001F4C90" w:rsidRPr="00A34545" w:rsidRDefault="001F4C90" w:rsidP="001F4C90">
      <w:pPr>
        <w:autoSpaceDE w:val="0"/>
        <w:autoSpaceDN w:val="0"/>
        <w:adjustRightInd w:val="0"/>
        <w:spacing w:after="0" w:line="240" w:lineRule="auto"/>
        <w:contextualSpacing/>
        <w:jc w:val="both"/>
        <w:rPr>
          <w:rFonts w:ascii="Times New Roman" w:hAnsi="Times New Roman" w:cs="Times New Roman"/>
          <w:sz w:val="24"/>
          <w:szCs w:val="24"/>
        </w:rPr>
      </w:pPr>
    </w:p>
    <w:p w14:paraId="7B24C56F" w14:textId="0433A183" w:rsidR="001F4C90" w:rsidRPr="00B221B9" w:rsidRDefault="001F4C90" w:rsidP="001F4C90">
      <w:pPr>
        <w:autoSpaceDE w:val="0"/>
        <w:autoSpaceDN w:val="0"/>
        <w:adjustRightInd w:val="0"/>
        <w:spacing w:after="0" w:line="240" w:lineRule="auto"/>
        <w:jc w:val="both"/>
        <w:rPr>
          <w:rFonts w:ascii="Times New Roman" w:hAnsi="Times New Roman" w:cs="Times New Roman"/>
          <w:sz w:val="24"/>
          <w:szCs w:val="24"/>
        </w:rPr>
      </w:pPr>
      <w:r w:rsidRPr="00A34545">
        <w:rPr>
          <w:rFonts w:ascii="Times New Roman" w:hAnsi="Times New Roman" w:cs="Times New Roman"/>
          <w:sz w:val="24"/>
          <w:szCs w:val="24"/>
        </w:rPr>
        <w:t xml:space="preserve">The causes of this </w:t>
      </w:r>
      <w:r w:rsidR="00235DE2" w:rsidRPr="00A34545">
        <w:rPr>
          <w:rFonts w:ascii="Times New Roman" w:hAnsi="Times New Roman" w:cs="Times New Roman"/>
          <w:sz w:val="24"/>
          <w:szCs w:val="24"/>
        </w:rPr>
        <w:t xml:space="preserve">brain </w:t>
      </w:r>
      <w:r w:rsidR="00A34545" w:rsidRPr="00A34545">
        <w:rPr>
          <w:rFonts w:ascii="Times New Roman" w:hAnsi="Times New Roman" w:cs="Times New Roman"/>
          <w:sz w:val="24"/>
          <w:szCs w:val="24"/>
        </w:rPr>
        <w:t>drain</w:t>
      </w:r>
      <w:r w:rsidR="00235DE2" w:rsidRPr="00A34545">
        <w:rPr>
          <w:rFonts w:ascii="Times New Roman" w:hAnsi="Times New Roman" w:cs="Times New Roman"/>
          <w:sz w:val="24"/>
          <w:szCs w:val="24"/>
        </w:rPr>
        <w:t xml:space="preserve"> </w:t>
      </w:r>
      <w:r w:rsidRPr="00A34545">
        <w:rPr>
          <w:rFonts w:ascii="Times New Roman" w:hAnsi="Times New Roman" w:cs="Times New Roman"/>
          <w:sz w:val="24"/>
          <w:szCs w:val="24"/>
        </w:rPr>
        <w:t xml:space="preserve">are mainly financial-related and often associates with the economic loss for those countries experiencing high rates of high-skilled workforce </w:t>
      </w:r>
      <w:r w:rsidRPr="00B221B9">
        <w:rPr>
          <w:rFonts w:ascii="Times New Roman" w:hAnsi="Times New Roman" w:cs="Times New Roman"/>
          <w:sz w:val="24"/>
          <w:szCs w:val="24"/>
        </w:rPr>
        <w:t xml:space="preserve">mobility (Marinakou et al., 2016). However, other social, political, and professional circumstances could also associate with an individual’s willingness to become a </w:t>
      </w:r>
      <w:r w:rsidR="003F1B88" w:rsidRPr="00B221B9">
        <w:rPr>
          <w:rFonts w:ascii="Times New Roman" w:hAnsi="Times New Roman" w:cs="Times New Roman"/>
          <w:sz w:val="24"/>
          <w:szCs w:val="24"/>
        </w:rPr>
        <w:t>migrant worker</w:t>
      </w:r>
      <w:r w:rsidRPr="00B221B9">
        <w:rPr>
          <w:rFonts w:ascii="Times New Roman" w:hAnsi="Times New Roman" w:cs="Times New Roman"/>
          <w:sz w:val="24"/>
          <w:szCs w:val="24"/>
        </w:rPr>
        <w:t xml:space="preserve">. Overall, much of the relevant literature </w:t>
      </w:r>
      <w:r w:rsidRPr="00B221B9">
        <w:rPr>
          <w:rFonts w:ascii="Times New Roman" w:eastAsiaTheme="minorEastAsia" w:hAnsi="Times New Roman" w:cs="Times New Roman"/>
          <w:sz w:val="24"/>
          <w:szCs w:val="24"/>
          <w:lang w:eastAsia="zh-CN"/>
        </w:rPr>
        <w:t>places greater emphasis on the perspective of organisations and governments with a tendency to overlook individuals (</w:t>
      </w:r>
      <w:r w:rsidRPr="00701B70">
        <w:rPr>
          <w:rFonts w:ascii="Times New Roman" w:eastAsiaTheme="minorEastAsia" w:hAnsi="Times New Roman" w:cs="Times New Roman"/>
          <w:sz w:val="24"/>
          <w:szCs w:val="24"/>
          <w:lang w:eastAsia="zh-CN"/>
        </w:rPr>
        <w:t>Ewers, 2007; Zhang, 2003</w:t>
      </w:r>
      <w:r w:rsidRPr="00B221B9">
        <w:rPr>
          <w:rFonts w:ascii="Times New Roman" w:eastAsiaTheme="minorEastAsia" w:hAnsi="Times New Roman" w:cs="Times New Roman"/>
          <w:sz w:val="24"/>
          <w:szCs w:val="24"/>
          <w:lang w:eastAsia="zh-CN"/>
        </w:rPr>
        <w:t>). This is an important element to consider bearing in mind that well-educated and highly-skilled</w:t>
      </w:r>
      <w:r w:rsidR="00235DE2" w:rsidRPr="00B221B9">
        <w:rPr>
          <w:rFonts w:ascii="Times New Roman" w:eastAsiaTheme="minorEastAsia" w:hAnsi="Times New Roman" w:cs="Times New Roman"/>
          <w:sz w:val="24"/>
          <w:szCs w:val="24"/>
          <w:lang w:eastAsia="zh-CN"/>
        </w:rPr>
        <w:t xml:space="preserve"> migrant workers</w:t>
      </w:r>
      <w:r w:rsidRPr="00B221B9">
        <w:rPr>
          <w:rFonts w:ascii="Times New Roman" w:eastAsiaTheme="minorEastAsia" w:hAnsi="Times New Roman" w:cs="Times New Roman"/>
          <w:sz w:val="24"/>
          <w:szCs w:val="24"/>
          <w:lang w:eastAsia="zh-CN"/>
        </w:rPr>
        <w:t xml:space="preserve"> could demonstrate their own sets of reasons of emigrating. </w:t>
      </w:r>
      <w:r w:rsidR="00B221B9" w:rsidRPr="00B221B9">
        <w:rPr>
          <w:rFonts w:ascii="Times New Roman" w:eastAsiaTheme="minorEastAsia" w:hAnsi="Times New Roman" w:cs="Times New Roman"/>
          <w:sz w:val="24"/>
          <w:szCs w:val="24"/>
          <w:lang w:eastAsia="zh-CN"/>
        </w:rPr>
        <w:t xml:space="preserve">As to that, </w:t>
      </w:r>
      <w:r w:rsidR="00B221B9" w:rsidRPr="00B221B9">
        <w:rPr>
          <w:rFonts w:ascii="Times New Roman" w:hAnsi="Times New Roman" w:cs="Times New Roman"/>
        </w:rPr>
        <w:t>the paper aims to explore individuals’ perceptions and experiences over diversity training and its impact on workplace integration.</w:t>
      </w:r>
    </w:p>
    <w:p w14:paraId="4CB71C99" w14:textId="77777777" w:rsidR="001F4C90" w:rsidRPr="00B221B9" w:rsidRDefault="001F4C90" w:rsidP="001F4C90">
      <w:pPr>
        <w:autoSpaceDE w:val="0"/>
        <w:autoSpaceDN w:val="0"/>
        <w:adjustRightInd w:val="0"/>
        <w:spacing w:after="0" w:line="240" w:lineRule="auto"/>
        <w:contextualSpacing/>
        <w:jc w:val="both"/>
        <w:rPr>
          <w:rFonts w:ascii="Times New Roman" w:hAnsi="Times New Roman" w:cs="Times New Roman"/>
          <w:sz w:val="24"/>
          <w:szCs w:val="24"/>
        </w:rPr>
      </w:pPr>
    </w:p>
    <w:p w14:paraId="27D0FB5E" w14:textId="68F21698" w:rsidR="001F4C90" w:rsidRPr="00B221B9" w:rsidRDefault="001F4C90" w:rsidP="001F4C90">
      <w:pPr>
        <w:autoSpaceDE w:val="0"/>
        <w:autoSpaceDN w:val="0"/>
        <w:adjustRightInd w:val="0"/>
        <w:spacing w:after="0" w:line="240" w:lineRule="auto"/>
        <w:contextualSpacing/>
        <w:jc w:val="both"/>
        <w:rPr>
          <w:rFonts w:ascii="Times New Roman" w:hAnsi="Times New Roman" w:cs="Times New Roman"/>
          <w:sz w:val="24"/>
          <w:szCs w:val="24"/>
        </w:rPr>
      </w:pPr>
      <w:r w:rsidRPr="00B221B9">
        <w:rPr>
          <w:rFonts w:ascii="Times New Roman" w:hAnsi="Times New Roman" w:cs="Times New Roman"/>
          <w:sz w:val="24"/>
          <w:szCs w:val="24"/>
        </w:rPr>
        <w:t xml:space="preserve">Taking all into consideration, </w:t>
      </w:r>
      <w:r w:rsidR="00235DE2" w:rsidRPr="00B221B9">
        <w:rPr>
          <w:rFonts w:ascii="Times New Roman" w:hAnsi="Times New Roman" w:cs="Times New Roman"/>
          <w:sz w:val="24"/>
          <w:szCs w:val="24"/>
        </w:rPr>
        <w:t>this study examines the extent to which diversity training is being used in workplaces in the UK to better integrate migrant workers. The paper also aims at assessing the perceived challenges and benefits that diversity training may produce for individuals</w:t>
      </w:r>
      <w:r w:rsidR="00235DE2" w:rsidRPr="00B221B9">
        <w:rPr>
          <w:rFonts w:ascii="Times New Roman" w:eastAsia="Calibri" w:hAnsi="Times New Roman" w:cs="Times New Roman"/>
          <w:sz w:val="24"/>
          <w:szCs w:val="24"/>
          <w:lang w:eastAsia="en-GB"/>
        </w:rPr>
        <w:t xml:space="preserve"> in an era of economic and social uncertainty and insecurity. The underlying reasons that made many highly-skilled individuals to emigrate would also be highlighted. Most importantly though, the paper aims at initiating a discussion</w:t>
      </w:r>
      <w:r w:rsidR="00235DE2" w:rsidRPr="00B221B9">
        <w:rPr>
          <w:rFonts w:ascii="Times New Roman" w:hAnsi="Times New Roman" w:cs="Times New Roman"/>
          <w:sz w:val="24"/>
          <w:szCs w:val="24"/>
        </w:rPr>
        <w:t xml:space="preserve"> as to what extent diversity training could facilitate their social integration at the workplace. Thus, to better serve its purpose, the study explores Greek and Portuguese migrant workers’ perceptions of the phenomenon under investigation. </w:t>
      </w:r>
    </w:p>
    <w:p w14:paraId="1747FA33" w14:textId="77777777" w:rsidR="001F4C90" w:rsidRPr="00786EE6" w:rsidRDefault="001F4C90" w:rsidP="001F4C90">
      <w:pPr>
        <w:autoSpaceDE w:val="0"/>
        <w:autoSpaceDN w:val="0"/>
        <w:adjustRightInd w:val="0"/>
        <w:spacing w:after="0" w:line="240" w:lineRule="auto"/>
        <w:contextualSpacing/>
        <w:jc w:val="both"/>
        <w:rPr>
          <w:rFonts w:ascii="Times New Roman" w:hAnsi="Times New Roman" w:cs="Times New Roman"/>
          <w:sz w:val="24"/>
          <w:szCs w:val="24"/>
        </w:rPr>
      </w:pPr>
    </w:p>
    <w:p w14:paraId="1426721F" w14:textId="77777777" w:rsidR="001F4C90" w:rsidRPr="00786EE6" w:rsidRDefault="001F4C90" w:rsidP="001F4C90">
      <w:pPr>
        <w:pStyle w:val="Default"/>
        <w:contextualSpacing/>
        <w:jc w:val="both"/>
        <w:rPr>
          <w:rFonts w:eastAsia="Calibri"/>
          <w:b/>
          <w:bCs/>
          <w:sz w:val="28"/>
          <w:szCs w:val="28"/>
          <w:lang w:eastAsia="en-GB"/>
        </w:rPr>
      </w:pPr>
      <w:r w:rsidRPr="00786EE6">
        <w:rPr>
          <w:rFonts w:eastAsia="Calibri"/>
          <w:b/>
          <w:bCs/>
          <w:sz w:val="28"/>
          <w:szCs w:val="28"/>
          <w:lang w:eastAsia="en-GB"/>
        </w:rPr>
        <w:t>Literature Review</w:t>
      </w:r>
    </w:p>
    <w:p w14:paraId="47CBE72E" w14:textId="77777777" w:rsidR="002F2821" w:rsidRDefault="002F2821" w:rsidP="002F2821">
      <w:pPr>
        <w:pStyle w:val="Default"/>
        <w:contextualSpacing/>
        <w:jc w:val="both"/>
        <w:rPr>
          <w:rFonts w:eastAsia="Calibri"/>
          <w:bCs/>
          <w:lang w:eastAsia="en-GB"/>
        </w:rPr>
      </w:pPr>
      <w:r w:rsidRPr="005C1435">
        <w:rPr>
          <w:rFonts w:eastAsia="Calibri"/>
          <w:bCs/>
          <w:lang w:eastAsia="en-GB"/>
        </w:rPr>
        <w:t xml:space="preserve">The </w:t>
      </w:r>
      <w:r w:rsidRPr="000E258A">
        <w:rPr>
          <w:rFonts w:eastAsia="Calibri"/>
          <w:bCs/>
          <w:lang w:eastAsia="en-GB"/>
        </w:rPr>
        <w:t>extension and opening of borders in European Union through the Schengen agreement has resulted in extensive labour flows between European countries. This phenomen</w:t>
      </w:r>
      <w:r>
        <w:rPr>
          <w:rFonts w:eastAsia="Calibri"/>
          <w:bCs/>
          <w:lang w:eastAsia="en-GB"/>
        </w:rPr>
        <w:t>on,</w:t>
      </w:r>
      <w:r w:rsidRPr="000E258A">
        <w:rPr>
          <w:rFonts w:eastAsia="Calibri"/>
          <w:bCs/>
          <w:lang w:eastAsia="en-GB"/>
        </w:rPr>
        <w:t xml:space="preserve"> coupled with </w:t>
      </w:r>
      <w:r>
        <w:rPr>
          <w:rFonts w:eastAsia="Calibri"/>
          <w:bCs/>
          <w:lang w:eastAsia="en-GB"/>
        </w:rPr>
        <w:t xml:space="preserve">the </w:t>
      </w:r>
      <w:r w:rsidRPr="000E258A">
        <w:rPr>
          <w:rFonts w:eastAsia="Calibri"/>
          <w:bCs/>
          <w:lang w:eastAsia="en-GB"/>
        </w:rPr>
        <w:t>recent economic crisis</w:t>
      </w:r>
      <w:r>
        <w:rPr>
          <w:rFonts w:eastAsia="Calibri"/>
          <w:bCs/>
          <w:lang w:eastAsia="en-GB"/>
        </w:rPr>
        <w:t>,</w:t>
      </w:r>
      <w:r w:rsidRPr="000E258A">
        <w:rPr>
          <w:rFonts w:eastAsia="Calibri"/>
          <w:bCs/>
          <w:lang w:eastAsia="en-GB"/>
        </w:rPr>
        <w:t xml:space="preserve"> has propelled the attention of academic and policy researchers in investigating its impacts on societal, economic and workplace levels (</w:t>
      </w:r>
      <w:r w:rsidRPr="00F92CBB">
        <w:rPr>
          <w:rFonts w:eastAsia="Calibri"/>
          <w:bCs/>
          <w:color w:val="auto"/>
          <w:lang w:eastAsia="en-GB"/>
        </w:rPr>
        <w:t>Cerna, 2014;</w:t>
      </w:r>
      <w:r w:rsidRPr="009670D5">
        <w:rPr>
          <w:rFonts w:eastAsia="Calibri"/>
          <w:bCs/>
          <w:color w:val="FF0000"/>
          <w:lang w:eastAsia="en-GB"/>
        </w:rPr>
        <w:t xml:space="preserve"> </w:t>
      </w:r>
      <w:r w:rsidRPr="00F92CBB">
        <w:rPr>
          <w:rFonts w:eastAsia="Calibri"/>
          <w:bCs/>
          <w:color w:val="auto"/>
          <w:lang w:eastAsia="en-GB"/>
        </w:rPr>
        <w:t>Meardi, 2012</w:t>
      </w:r>
      <w:r w:rsidRPr="00A12514">
        <w:rPr>
          <w:rFonts w:eastAsia="Calibri"/>
          <w:bCs/>
          <w:color w:val="auto"/>
          <w:lang w:eastAsia="en-GB"/>
        </w:rPr>
        <w:t>; Trappmann, 2011</w:t>
      </w:r>
      <w:r w:rsidRPr="000E258A">
        <w:rPr>
          <w:rFonts w:eastAsia="Calibri"/>
          <w:bCs/>
          <w:lang w:eastAsia="en-GB"/>
        </w:rPr>
        <w:t>).</w:t>
      </w:r>
    </w:p>
    <w:p w14:paraId="7470B3AA" w14:textId="77777777" w:rsidR="002F2821" w:rsidRDefault="002F2821" w:rsidP="002F2821">
      <w:pPr>
        <w:pStyle w:val="Default"/>
        <w:contextualSpacing/>
        <w:jc w:val="both"/>
        <w:rPr>
          <w:rFonts w:eastAsia="Calibri"/>
          <w:bCs/>
          <w:lang w:eastAsia="en-GB"/>
        </w:rPr>
      </w:pPr>
    </w:p>
    <w:p w14:paraId="21F4D22D" w14:textId="5186E5C4" w:rsidR="001F4C90" w:rsidRPr="009808CE" w:rsidRDefault="002F2821" w:rsidP="002F2821">
      <w:pPr>
        <w:pStyle w:val="Default"/>
        <w:contextualSpacing/>
        <w:jc w:val="both"/>
      </w:pPr>
      <w:r w:rsidRPr="00786EE6">
        <w:t xml:space="preserve">Brain migration could be described as an intense process that affects many and different individuals and/or population groups (Harvey, 2012). </w:t>
      </w:r>
      <w:r w:rsidRPr="005C1435">
        <w:t xml:space="preserve">According to Iravani (2011), brain migration can be categorised into a four-tier classification, namely the “brain-expert”, the “brain-exchange”, the “brain overflow”, and the “brain-drain”. The author suggests that due to demand and supply declinations, there is always a surplus (“brain overflow”) of highly-skilled individuals within a local/national employment market, which might be absorbed from </w:t>
      </w:r>
      <w:r w:rsidRPr="005C1435">
        <w:lastRenderedPageBreak/>
        <w:t>a different one (ibid). The “brain-drain” refers to the outflow of competent professionals to a different country, while a “brain exchange” could occur between two or more countries when individuals from one country emigrate to another one (and vice versa) so for a knowledge and expertise transfer to take place (ibid). In that case, this phenomenon might be temporary as the “brain losses” are compensated by the respective “brain gains” (ibid).</w:t>
      </w:r>
      <w:r>
        <w:t xml:space="preserve"> </w:t>
      </w:r>
      <w:r w:rsidRPr="00786EE6">
        <w:t xml:space="preserve">Both today and in the past, a significant growth of highly-skilled workforce mobility was recorded for a variety of reasons. In most cases though, economic factors have been the root of this work migration (ibid). Further to that, </w:t>
      </w:r>
      <w:r>
        <w:t>brain</w:t>
      </w:r>
      <w:r w:rsidRPr="00786EE6">
        <w:t xml:space="preserve"> </w:t>
      </w:r>
      <w:r>
        <w:t>mobility</w:t>
      </w:r>
      <w:r w:rsidRPr="00786EE6">
        <w:t xml:space="preserve"> </w:t>
      </w:r>
      <w:r w:rsidRPr="005C1435">
        <w:t xml:space="preserve">associates with the intention to look for new career opportunities elsewhere due to push factors such as the inadequate organisational budgets for staffing, training and developing the workforce, unfavourable employment conditions, unattractive remuneration packages, ineffective utilisation of a country’s workforce expertise, political interference and/or corruption etc. (Marinakou et al., 2016; David et al., 2012; Iravani, 2011; Hilderbrand and Grindle, 1997). </w:t>
      </w:r>
      <w:r w:rsidRPr="005C1435">
        <w:rPr>
          <w:lang w:val="it-IT"/>
        </w:rPr>
        <w:t xml:space="preserve">In addition, Dalla et al. </w:t>
      </w:r>
      <w:r w:rsidRPr="005C1435">
        <w:t xml:space="preserve">(2013) argued that pull factors (e.g. greater career advancement opportunities, and career development incentives etc.) being offered from the host labour markets constitute the main </w:t>
      </w:r>
      <w:r w:rsidRPr="009808CE">
        <w:t xml:space="preserve">reasons of most “work immigrants” willingness to emigrate. </w:t>
      </w:r>
      <w:r w:rsidRPr="005C1435">
        <w:t xml:space="preserve">Today, the term is also used in order to describe international work migration with brain inflows and outflows from one country to another so for the brain losses to be compensated by the respective brain gains (David et al., 2012). Yet, the extent to which this brain </w:t>
      </w:r>
      <w:r w:rsidR="009C6D90">
        <w:t>mobility</w:t>
      </w:r>
      <w:r w:rsidRPr="005C1435">
        <w:t xml:space="preserve"> could cause the loss of cultural and social capital between the sending and receiving countries is a matter of debate.</w:t>
      </w:r>
    </w:p>
    <w:p w14:paraId="482FC3B1" w14:textId="77777777" w:rsidR="001F4C90" w:rsidRPr="009808CE" w:rsidRDefault="001F4C90" w:rsidP="001F4C90">
      <w:pPr>
        <w:pStyle w:val="Default"/>
        <w:contextualSpacing/>
        <w:jc w:val="both"/>
      </w:pPr>
    </w:p>
    <w:p w14:paraId="467B1B12" w14:textId="2D08082A" w:rsidR="009808CE" w:rsidRDefault="00B0358E" w:rsidP="001F4C90">
      <w:pPr>
        <w:autoSpaceDE w:val="0"/>
        <w:autoSpaceDN w:val="0"/>
        <w:adjustRightInd w:val="0"/>
        <w:spacing w:after="0" w:line="240" w:lineRule="auto"/>
        <w:jc w:val="both"/>
        <w:rPr>
          <w:rFonts w:ascii="Times New Roman" w:eastAsiaTheme="minorEastAsia" w:hAnsi="Times New Roman" w:cs="Times New Roman"/>
          <w:sz w:val="24"/>
          <w:szCs w:val="24"/>
          <w:lang w:eastAsia="zh-CN"/>
        </w:rPr>
      </w:pPr>
      <w:r>
        <w:rPr>
          <w:rFonts w:ascii="Times New Roman" w:eastAsia="Calibri" w:hAnsi="Times New Roman" w:cs="Times New Roman"/>
          <w:bCs/>
          <w:sz w:val="24"/>
          <w:szCs w:val="24"/>
          <w:lang w:eastAsia="en-GB"/>
        </w:rPr>
        <w:t>The large majority of brain outflows (both from Greece and Portugal) were recorded as brain inflows for UK. Precisely for</w:t>
      </w:r>
      <w:r w:rsidR="009808CE" w:rsidRPr="00B0358E">
        <w:rPr>
          <w:rFonts w:ascii="Times New Roman" w:eastAsia="Calibri" w:hAnsi="Times New Roman" w:cs="Times New Roman"/>
          <w:bCs/>
          <w:sz w:val="24"/>
          <w:szCs w:val="24"/>
          <w:lang w:eastAsia="en-GB"/>
        </w:rPr>
        <w:t xml:space="preserve"> UK, brain inflows aimed at filling in the gap of severe labour market shortages, particularly in low skill and low paid sectors, such as manufacturing, hospitality and construction </w:t>
      </w:r>
      <w:r w:rsidR="009808CE" w:rsidRPr="00BE223B">
        <w:rPr>
          <w:rFonts w:ascii="Times New Roman" w:eastAsia="Calibri" w:hAnsi="Times New Roman" w:cs="Times New Roman"/>
          <w:bCs/>
          <w:sz w:val="24"/>
          <w:szCs w:val="24"/>
          <w:lang w:eastAsia="en-GB"/>
        </w:rPr>
        <w:t>(</w:t>
      </w:r>
      <w:r w:rsidR="00493A55">
        <w:rPr>
          <w:rFonts w:ascii="Times New Roman" w:eastAsia="Calibri" w:hAnsi="Times New Roman" w:cs="Times New Roman"/>
          <w:bCs/>
          <w:sz w:val="24"/>
          <w:szCs w:val="24"/>
          <w:lang w:eastAsia="en-GB"/>
        </w:rPr>
        <w:t>McDowell</w:t>
      </w:r>
      <w:r w:rsidR="009808CE" w:rsidRPr="00BE223B">
        <w:rPr>
          <w:rFonts w:ascii="Times New Roman" w:eastAsia="Calibri" w:hAnsi="Times New Roman" w:cs="Times New Roman"/>
          <w:bCs/>
          <w:sz w:val="24"/>
          <w:szCs w:val="24"/>
          <w:lang w:eastAsia="en-GB"/>
        </w:rPr>
        <w:t xml:space="preserve">, 2009). </w:t>
      </w:r>
      <w:r w:rsidR="009808CE" w:rsidRPr="00B0358E">
        <w:rPr>
          <w:rFonts w:ascii="Times New Roman" w:eastAsia="Calibri" w:hAnsi="Times New Roman" w:cs="Times New Roman"/>
          <w:bCs/>
          <w:sz w:val="24"/>
          <w:szCs w:val="24"/>
          <w:lang w:eastAsia="en-GB"/>
        </w:rPr>
        <w:t>Yet, in contrast to that, many highly skilled individuals immigrated to UK</w:t>
      </w:r>
      <w:r>
        <w:rPr>
          <w:rFonts w:ascii="Times New Roman" w:eastAsia="Calibri" w:hAnsi="Times New Roman" w:cs="Times New Roman"/>
          <w:bCs/>
          <w:sz w:val="24"/>
          <w:szCs w:val="24"/>
          <w:lang w:eastAsia="en-GB"/>
        </w:rPr>
        <w:t xml:space="preserve"> as well</w:t>
      </w:r>
      <w:r w:rsidR="009808CE" w:rsidRPr="00B0358E">
        <w:rPr>
          <w:rFonts w:ascii="Times New Roman" w:eastAsia="Calibri" w:hAnsi="Times New Roman" w:cs="Times New Roman"/>
          <w:bCs/>
          <w:sz w:val="24"/>
          <w:szCs w:val="24"/>
          <w:lang w:eastAsia="en-GB"/>
        </w:rPr>
        <w:t xml:space="preserve"> in </w:t>
      </w:r>
      <w:r>
        <w:rPr>
          <w:rFonts w:ascii="Times New Roman" w:eastAsia="Calibri" w:hAnsi="Times New Roman" w:cs="Times New Roman"/>
          <w:bCs/>
          <w:sz w:val="24"/>
          <w:szCs w:val="24"/>
          <w:lang w:eastAsia="en-GB"/>
        </w:rPr>
        <w:t>an attempt to</w:t>
      </w:r>
      <w:r w:rsidRPr="00B0358E">
        <w:rPr>
          <w:rFonts w:ascii="Times New Roman" w:eastAsia="Calibri" w:hAnsi="Times New Roman" w:cs="Times New Roman"/>
          <w:bCs/>
          <w:sz w:val="24"/>
          <w:szCs w:val="24"/>
          <w:lang w:eastAsia="en-GB"/>
        </w:rPr>
        <w:t xml:space="preserve"> </w:t>
      </w:r>
      <w:r w:rsidR="009808CE" w:rsidRPr="00B0358E">
        <w:rPr>
          <w:rFonts w:ascii="Times New Roman" w:eastAsia="Calibri" w:hAnsi="Times New Roman" w:cs="Times New Roman"/>
          <w:bCs/>
          <w:sz w:val="24"/>
          <w:szCs w:val="24"/>
          <w:lang w:eastAsia="en-GB"/>
        </w:rPr>
        <w:t>seek for new employment opportunities sine their countries could not offered these to them.</w:t>
      </w:r>
      <w:r>
        <w:rPr>
          <w:rFonts w:ascii="Times New Roman" w:eastAsia="Calibri" w:hAnsi="Times New Roman" w:cs="Times New Roman"/>
          <w:bCs/>
          <w:sz w:val="24"/>
          <w:szCs w:val="24"/>
          <w:lang w:eastAsia="en-GB"/>
        </w:rPr>
        <w:t xml:space="preserve"> </w:t>
      </w:r>
      <w:r w:rsidR="00277403">
        <w:rPr>
          <w:rFonts w:ascii="Times New Roman" w:eastAsia="Calibri" w:hAnsi="Times New Roman" w:cs="Times New Roman"/>
          <w:bCs/>
          <w:sz w:val="24"/>
          <w:szCs w:val="24"/>
          <w:lang w:eastAsia="en-GB"/>
        </w:rPr>
        <w:t xml:space="preserve">Greater brain mobility was noticed within the construction industry (both for low- and high-skilled individuals), yet with </w:t>
      </w:r>
      <w:r w:rsidR="00277403" w:rsidRPr="00B95952">
        <w:rPr>
          <w:rFonts w:ascii="Times New Roman" w:eastAsia="Calibri" w:hAnsi="Times New Roman" w:cs="Times New Roman"/>
          <w:bCs/>
          <w:sz w:val="24"/>
          <w:szCs w:val="24"/>
          <w:lang w:eastAsia="en-GB"/>
        </w:rPr>
        <w:t xml:space="preserve">brain inflows to be noticed within the health (e.g. doctors &amp; nurses), education, banking and finance and shipping sectors (ONS, 2017). </w:t>
      </w:r>
      <w:r w:rsidR="00B95952" w:rsidRPr="00B95952">
        <w:rPr>
          <w:rFonts w:ascii="Times New Roman" w:eastAsia="Calibri" w:hAnsi="Times New Roman" w:cs="Times New Roman"/>
          <w:bCs/>
          <w:sz w:val="24"/>
          <w:szCs w:val="24"/>
          <w:lang w:eastAsia="en-GB"/>
        </w:rPr>
        <w:t>However, following the results of the UK referendum to leave EU, these developments have recently fostered political debate about the role and flows of migration within the UK.</w:t>
      </w:r>
      <w:r w:rsidR="00B95952">
        <w:rPr>
          <w:rFonts w:ascii="Times New Roman" w:eastAsia="Calibri" w:hAnsi="Times New Roman" w:cs="Times New Roman"/>
          <w:bCs/>
          <w:sz w:val="24"/>
          <w:szCs w:val="24"/>
          <w:lang w:eastAsia="en-GB"/>
        </w:rPr>
        <w:t xml:space="preserve"> </w:t>
      </w:r>
      <w:r w:rsidR="00B95952" w:rsidRPr="00B221B9">
        <w:rPr>
          <w:rFonts w:ascii="Times New Roman" w:hAnsi="Times New Roman" w:cs="Times New Roman"/>
          <w:sz w:val="24"/>
          <w:szCs w:val="24"/>
        </w:rPr>
        <w:t xml:space="preserve">In most cases though, work emigration results from a combination of “push factors” (home country) and “pull factors” (host country). Further to that, there is also a social loss for them that relates to the exodus of its most capable and well-educated professionals (Smith, 2016; 2015). Taking all into account, such a social phenomenon </w:t>
      </w:r>
      <w:r w:rsidR="00B95952" w:rsidRPr="00676A39">
        <w:rPr>
          <w:rFonts w:ascii="Times New Roman" w:hAnsi="Times New Roman" w:cs="Times New Roman"/>
          <w:sz w:val="24"/>
          <w:szCs w:val="24"/>
        </w:rPr>
        <w:t>becomes increasingly a matter of concern within the EU and across the glob</w:t>
      </w:r>
      <w:r w:rsidR="000734F4">
        <w:rPr>
          <w:rFonts w:ascii="Times New Roman" w:hAnsi="Times New Roman" w:cs="Times New Roman"/>
          <w:sz w:val="24"/>
          <w:szCs w:val="24"/>
        </w:rPr>
        <w:t>e, as in many cases, this brain mobility</w:t>
      </w:r>
      <w:r w:rsidR="00B95952" w:rsidRPr="00676A39">
        <w:rPr>
          <w:rFonts w:ascii="Times New Roman" w:hAnsi="Times New Roman" w:cs="Times New Roman"/>
          <w:sz w:val="24"/>
          <w:szCs w:val="24"/>
        </w:rPr>
        <w:t xml:space="preserve"> is not </w:t>
      </w:r>
      <w:r w:rsidR="00B95952" w:rsidRPr="00676A39">
        <w:rPr>
          <w:rFonts w:ascii="Times New Roman" w:eastAsia="Ottawa" w:hAnsi="Times New Roman" w:cs="Times New Roman"/>
          <w:sz w:val="24"/>
          <w:szCs w:val="24"/>
          <w:lang w:eastAsia="zh-CN"/>
        </w:rPr>
        <w:t>entirely exploited and for the benefit of both countries</w:t>
      </w:r>
      <w:r w:rsidR="00676A39" w:rsidRPr="00676A39">
        <w:rPr>
          <w:rFonts w:ascii="Times New Roman" w:eastAsia="Ottawa" w:hAnsi="Times New Roman" w:cs="Times New Roman"/>
          <w:sz w:val="24"/>
          <w:szCs w:val="24"/>
          <w:lang w:eastAsia="zh-CN"/>
        </w:rPr>
        <w:t xml:space="preserve">, while in some other cases </w:t>
      </w:r>
      <w:r w:rsidR="00EC3253">
        <w:rPr>
          <w:rFonts w:ascii="Times New Roman" w:eastAsia="Ottawa" w:hAnsi="Times New Roman" w:cs="Times New Roman"/>
          <w:sz w:val="24"/>
          <w:szCs w:val="24"/>
          <w:lang w:eastAsia="zh-CN"/>
        </w:rPr>
        <w:t>work migrants’</w:t>
      </w:r>
      <w:r w:rsidR="00EC3253" w:rsidRPr="00676A39">
        <w:rPr>
          <w:rFonts w:ascii="Times New Roman" w:eastAsia="Ottawa" w:hAnsi="Times New Roman" w:cs="Times New Roman"/>
          <w:sz w:val="24"/>
          <w:szCs w:val="24"/>
          <w:lang w:eastAsia="zh-CN"/>
        </w:rPr>
        <w:t xml:space="preserve"> </w:t>
      </w:r>
      <w:r w:rsidR="00676A39" w:rsidRPr="00676A39">
        <w:rPr>
          <w:rFonts w:ascii="Times New Roman" w:eastAsia="Calibri" w:hAnsi="Times New Roman" w:cs="Times New Roman"/>
          <w:bCs/>
          <w:sz w:val="24"/>
          <w:szCs w:val="24"/>
          <w:lang w:eastAsia="en-GB"/>
        </w:rPr>
        <w:t xml:space="preserve">overflow </w:t>
      </w:r>
      <w:r w:rsidR="00B163AB">
        <w:rPr>
          <w:rFonts w:ascii="Times New Roman" w:eastAsia="Calibri" w:hAnsi="Times New Roman" w:cs="Times New Roman"/>
          <w:bCs/>
          <w:sz w:val="24"/>
          <w:szCs w:val="24"/>
          <w:lang w:eastAsia="en-GB"/>
        </w:rPr>
        <w:t xml:space="preserve">from one country to another </w:t>
      </w:r>
      <w:r w:rsidR="00EC3253">
        <w:rPr>
          <w:rFonts w:ascii="Times New Roman" w:eastAsia="Calibri" w:hAnsi="Times New Roman" w:cs="Times New Roman"/>
          <w:bCs/>
          <w:sz w:val="24"/>
          <w:szCs w:val="24"/>
          <w:lang w:eastAsia="en-GB"/>
        </w:rPr>
        <w:t xml:space="preserve">has also resulted to </w:t>
      </w:r>
      <w:r w:rsidR="00364E12">
        <w:rPr>
          <w:rFonts w:ascii="Times New Roman" w:eastAsia="Calibri" w:hAnsi="Times New Roman" w:cs="Times New Roman"/>
          <w:bCs/>
          <w:sz w:val="24"/>
          <w:szCs w:val="24"/>
          <w:lang w:eastAsia="en-GB"/>
        </w:rPr>
        <w:t xml:space="preserve">workplace-related </w:t>
      </w:r>
      <w:r w:rsidR="00676A39" w:rsidRPr="00676A39">
        <w:rPr>
          <w:rFonts w:ascii="Times New Roman" w:eastAsia="Calibri" w:hAnsi="Times New Roman" w:cs="Times New Roman"/>
          <w:bCs/>
          <w:sz w:val="24"/>
          <w:szCs w:val="24"/>
          <w:lang w:eastAsia="en-GB"/>
        </w:rPr>
        <w:t xml:space="preserve">problems </w:t>
      </w:r>
      <w:r w:rsidR="00B163AB">
        <w:rPr>
          <w:rFonts w:ascii="Times New Roman" w:eastAsia="Calibri" w:hAnsi="Times New Roman" w:cs="Times New Roman"/>
          <w:bCs/>
          <w:sz w:val="24"/>
          <w:szCs w:val="24"/>
          <w:lang w:eastAsia="en-GB"/>
        </w:rPr>
        <w:t xml:space="preserve">such as lack of </w:t>
      </w:r>
      <w:r w:rsidR="00F63074">
        <w:rPr>
          <w:rFonts w:ascii="Times New Roman" w:eastAsia="Calibri" w:hAnsi="Times New Roman" w:cs="Times New Roman"/>
          <w:bCs/>
          <w:sz w:val="24"/>
          <w:szCs w:val="24"/>
          <w:lang w:eastAsia="en-GB"/>
        </w:rPr>
        <w:t xml:space="preserve">individuals’ </w:t>
      </w:r>
      <w:r w:rsidR="00B163AB">
        <w:rPr>
          <w:rFonts w:ascii="Times New Roman" w:eastAsia="Calibri" w:hAnsi="Times New Roman" w:cs="Times New Roman"/>
          <w:bCs/>
          <w:sz w:val="24"/>
          <w:szCs w:val="24"/>
          <w:lang w:eastAsia="en-GB"/>
        </w:rPr>
        <w:t>social embeddedness in the workplace</w:t>
      </w:r>
      <w:r w:rsidR="00676A39">
        <w:rPr>
          <w:rFonts w:ascii="Times New Roman" w:eastAsia="Calibri" w:hAnsi="Times New Roman" w:cs="Times New Roman"/>
          <w:bCs/>
          <w:sz w:val="24"/>
          <w:szCs w:val="24"/>
          <w:lang w:eastAsia="en-GB"/>
        </w:rPr>
        <w:t xml:space="preserve"> </w:t>
      </w:r>
      <w:r w:rsidR="00B95952" w:rsidRPr="00676A39">
        <w:rPr>
          <w:rFonts w:ascii="Times New Roman" w:eastAsia="Ottawa" w:hAnsi="Times New Roman" w:cs="Times New Roman"/>
          <w:sz w:val="24"/>
          <w:szCs w:val="24"/>
          <w:lang w:eastAsia="zh-CN"/>
        </w:rPr>
        <w:t>(David et al., 2012).</w:t>
      </w:r>
    </w:p>
    <w:p w14:paraId="44027C7F" w14:textId="77777777" w:rsidR="00493793" w:rsidRPr="009808CE" w:rsidRDefault="00493793" w:rsidP="001F4C90">
      <w:pPr>
        <w:autoSpaceDE w:val="0"/>
        <w:autoSpaceDN w:val="0"/>
        <w:adjustRightInd w:val="0"/>
        <w:spacing w:after="0" w:line="240" w:lineRule="auto"/>
        <w:jc w:val="both"/>
        <w:rPr>
          <w:rFonts w:ascii="Times New Roman" w:eastAsiaTheme="minorEastAsia" w:hAnsi="Times New Roman" w:cs="Times New Roman"/>
          <w:sz w:val="24"/>
          <w:szCs w:val="24"/>
          <w:lang w:eastAsia="zh-CN"/>
        </w:rPr>
      </w:pPr>
    </w:p>
    <w:p w14:paraId="170EA42A" w14:textId="44F76CB9" w:rsidR="001F4C90" w:rsidRPr="005C1435" w:rsidRDefault="00BE223B" w:rsidP="001F4C90">
      <w:pPr>
        <w:autoSpaceDE w:val="0"/>
        <w:autoSpaceDN w:val="0"/>
        <w:adjustRightInd w:val="0"/>
        <w:spacing w:after="0" w:line="240" w:lineRule="auto"/>
        <w:jc w:val="both"/>
        <w:rPr>
          <w:rFonts w:ascii="Times New Roman" w:eastAsiaTheme="minorEastAsia" w:hAnsi="Times New Roman" w:cs="Times New Roman"/>
          <w:sz w:val="24"/>
          <w:szCs w:val="24"/>
          <w:lang w:eastAsia="zh-CN"/>
        </w:rPr>
      </w:pPr>
      <w:r w:rsidRPr="005C1435">
        <w:rPr>
          <w:rFonts w:ascii="Times New Roman" w:eastAsiaTheme="minorEastAsia" w:hAnsi="Times New Roman" w:cs="Times New Roman"/>
          <w:sz w:val="24"/>
          <w:szCs w:val="24"/>
          <w:lang w:eastAsia="zh-CN"/>
        </w:rPr>
        <w:t>Ongoing international competition in global labour markets</w:t>
      </w:r>
      <w:r>
        <w:rPr>
          <w:rFonts w:ascii="Times New Roman" w:eastAsiaTheme="minorEastAsia" w:hAnsi="Times New Roman" w:cs="Times New Roman"/>
          <w:sz w:val="24"/>
          <w:szCs w:val="24"/>
          <w:lang w:eastAsia="zh-CN"/>
        </w:rPr>
        <w:t xml:space="preserve">, along with </w:t>
      </w:r>
      <w:r w:rsidRPr="005C1435">
        <w:rPr>
          <w:rFonts w:ascii="Times New Roman" w:eastAsiaTheme="minorEastAsia" w:hAnsi="Times New Roman" w:cs="Times New Roman"/>
          <w:sz w:val="24"/>
          <w:szCs w:val="24"/>
          <w:lang w:eastAsia="zh-CN"/>
        </w:rPr>
        <w:t>t</w:t>
      </w:r>
      <w:r w:rsidRPr="005C1435">
        <w:rPr>
          <w:rFonts w:ascii="Times New Roman" w:hAnsi="Times New Roman" w:cs="Times New Roman"/>
          <w:sz w:val="24"/>
          <w:szCs w:val="24"/>
        </w:rPr>
        <w:t>he aftermath of the</w:t>
      </w:r>
      <w:r>
        <w:rPr>
          <w:rFonts w:ascii="Times New Roman" w:hAnsi="Times New Roman" w:cs="Times New Roman"/>
          <w:sz w:val="24"/>
          <w:szCs w:val="24"/>
        </w:rPr>
        <w:t xml:space="preserve"> </w:t>
      </w:r>
      <w:r w:rsidRPr="005C1435">
        <w:rPr>
          <w:rFonts w:ascii="Times New Roman" w:hAnsi="Times New Roman" w:cs="Times New Roman"/>
          <w:sz w:val="24"/>
          <w:szCs w:val="24"/>
        </w:rPr>
        <w:t>global economic crisis (e.g. increase in unemployment rates, job and social insecurity,</w:t>
      </w:r>
      <w:r>
        <w:rPr>
          <w:rFonts w:ascii="Times New Roman" w:hAnsi="Times New Roman" w:cs="Times New Roman"/>
          <w:sz w:val="24"/>
          <w:szCs w:val="24"/>
        </w:rPr>
        <w:t xml:space="preserve"> </w:t>
      </w:r>
      <w:r w:rsidRPr="005C1435">
        <w:rPr>
          <w:rFonts w:ascii="Times New Roman" w:hAnsi="Times New Roman" w:cs="Times New Roman"/>
          <w:sz w:val="24"/>
          <w:szCs w:val="24"/>
        </w:rPr>
        <w:t>poverty etc.)</w:t>
      </w:r>
      <w:r>
        <w:rPr>
          <w:rFonts w:ascii="Times New Roman" w:hAnsi="Times New Roman" w:cs="Times New Roman"/>
          <w:sz w:val="24"/>
          <w:szCs w:val="24"/>
        </w:rPr>
        <w:t xml:space="preserve"> could both </w:t>
      </w:r>
      <w:r w:rsidRPr="005C1435">
        <w:rPr>
          <w:rFonts w:ascii="Times New Roman" w:eastAsiaTheme="minorEastAsia" w:hAnsi="Times New Roman" w:cs="Times New Roman"/>
          <w:sz w:val="24"/>
          <w:szCs w:val="24"/>
          <w:lang w:eastAsia="zh-CN"/>
        </w:rPr>
        <w:t>take the credits in bringing brain migration on the fore front again</w:t>
      </w:r>
      <w:r>
        <w:rPr>
          <w:rFonts w:ascii="Times New Roman" w:eastAsiaTheme="minorEastAsia" w:hAnsi="Times New Roman" w:cs="Times New Roman"/>
          <w:sz w:val="24"/>
          <w:szCs w:val="24"/>
          <w:lang w:eastAsia="zh-CN"/>
        </w:rPr>
        <w:t xml:space="preserve"> </w:t>
      </w:r>
      <w:r w:rsidRPr="005C1435">
        <w:rPr>
          <w:rFonts w:ascii="Times New Roman" w:eastAsiaTheme="minorEastAsia" w:hAnsi="Times New Roman" w:cs="Times New Roman"/>
          <w:sz w:val="24"/>
          <w:szCs w:val="24"/>
          <w:lang w:eastAsia="zh-CN"/>
        </w:rPr>
        <w:t>(</w:t>
      </w:r>
      <w:r w:rsidRPr="005C1435">
        <w:rPr>
          <w:rFonts w:ascii="Times New Roman" w:hAnsi="Times New Roman" w:cs="Times New Roman"/>
          <w:sz w:val="24"/>
          <w:szCs w:val="24"/>
        </w:rPr>
        <w:t>Giousmpasoglou et al., 2016; Koulouris et al., 2014; Ifanti et al., 2014; Giousmpasoglou,</w:t>
      </w:r>
      <w:r>
        <w:rPr>
          <w:rFonts w:ascii="Times New Roman" w:hAnsi="Times New Roman" w:cs="Times New Roman"/>
          <w:sz w:val="24"/>
          <w:szCs w:val="24"/>
        </w:rPr>
        <w:t xml:space="preserve"> </w:t>
      </w:r>
      <w:r w:rsidRPr="005C1435">
        <w:rPr>
          <w:rFonts w:ascii="Times New Roman" w:hAnsi="Times New Roman" w:cs="Times New Roman"/>
          <w:sz w:val="24"/>
          <w:szCs w:val="24"/>
        </w:rPr>
        <w:t>2014; Christopoulos et al., 2014).</w:t>
      </w:r>
      <w:r>
        <w:rPr>
          <w:rFonts w:ascii="Times New Roman" w:hAnsi="Times New Roman" w:cs="Times New Roman"/>
          <w:sz w:val="24"/>
          <w:szCs w:val="24"/>
        </w:rPr>
        <w:t xml:space="preserve"> </w:t>
      </w:r>
      <w:r w:rsidRPr="005C1435">
        <w:rPr>
          <w:rFonts w:ascii="Times New Roman" w:hAnsi="Times New Roman" w:cs="Times New Roman"/>
          <w:sz w:val="24"/>
          <w:szCs w:val="24"/>
        </w:rPr>
        <w:t xml:space="preserve">Such a “brain-outflow” </w:t>
      </w:r>
      <w:r>
        <w:rPr>
          <w:rFonts w:ascii="Times New Roman" w:hAnsi="Times New Roman" w:cs="Times New Roman"/>
          <w:sz w:val="24"/>
          <w:szCs w:val="24"/>
        </w:rPr>
        <w:t>is expected to have major long-</w:t>
      </w:r>
      <w:r w:rsidRPr="005C1435">
        <w:rPr>
          <w:rFonts w:ascii="Times New Roman" w:hAnsi="Times New Roman" w:cs="Times New Roman"/>
          <w:sz w:val="24"/>
          <w:szCs w:val="24"/>
        </w:rPr>
        <w:t xml:space="preserve">term implications for </w:t>
      </w:r>
      <w:r>
        <w:rPr>
          <w:rFonts w:ascii="Times New Roman" w:hAnsi="Times New Roman" w:cs="Times New Roman"/>
          <w:sz w:val="24"/>
          <w:szCs w:val="24"/>
        </w:rPr>
        <w:t>both</w:t>
      </w:r>
      <w:r w:rsidRPr="005C1435">
        <w:rPr>
          <w:rFonts w:ascii="Times New Roman" w:hAnsi="Times New Roman" w:cs="Times New Roman"/>
          <w:sz w:val="24"/>
          <w:szCs w:val="24"/>
        </w:rPr>
        <w:t xml:space="preserve"> countries’ economic growth and competitiveness if it is not compensated from a respective “brain-inflow” (Theodoropoulos et al., 2014; Gropas and Triantafyllidou, 2013; Verma et al., 2008). For instance, a loss of national human capital resources could be noticed as the host countries receive the respective educational return on </w:t>
      </w:r>
      <w:r w:rsidRPr="005C1435">
        <w:rPr>
          <w:rFonts w:ascii="Times New Roman" w:hAnsi="Times New Roman" w:cs="Times New Roman"/>
          <w:sz w:val="24"/>
          <w:szCs w:val="24"/>
        </w:rPr>
        <w:lastRenderedPageBreak/>
        <w:t>investment of those individuals who choose to emigrate (Ifanti et al., 2014; Iravani, 2011, Marinakou et al., 2016)</w:t>
      </w:r>
      <w:r>
        <w:rPr>
          <w:rFonts w:ascii="Times New Roman" w:hAnsi="Times New Roman" w:cs="Times New Roman"/>
          <w:sz w:val="24"/>
          <w:szCs w:val="24"/>
        </w:rPr>
        <w:t>.</w:t>
      </w:r>
      <w:r>
        <w:rPr>
          <w:rFonts w:ascii="Times New Roman" w:eastAsiaTheme="minorEastAsia" w:hAnsi="Times New Roman" w:cs="Times New Roman"/>
          <w:sz w:val="24"/>
          <w:szCs w:val="24"/>
          <w:lang w:eastAsia="zh-CN"/>
        </w:rPr>
        <w:t xml:space="preserve"> </w:t>
      </w:r>
      <w:r w:rsidRPr="005C1435">
        <w:rPr>
          <w:rFonts w:ascii="Times New Roman" w:hAnsi="Times New Roman" w:cs="Times New Roman"/>
          <w:sz w:val="24"/>
          <w:szCs w:val="24"/>
        </w:rPr>
        <w:t xml:space="preserve">Further to that, </w:t>
      </w:r>
      <w:r>
        <w:rPr>
          <w:rFonts w:ascii="Times New Roman" w:hAnsi="Times New Roman" w:cs="Times New Roman"/>
          <w:sz w:val="24"/>
          <w:szCs w:val="24"/>
        </w:rPr>
        <w:t>brain migration</w:t>
      </w:r>
      <w:r w:rsidRPr="005C1435">
        <w:rPr>
          <w:rFonts w:ascii="Times New Roman" w:hAnsi="Times New Roman" w:cs="Times New Roman"/>
          <w:sz w:val="24"/>
          <w:szCs w:val="24"/>
        </w:rPr>
        <w:t xml:space="preserve"> is interrelated with several pressing global concerns (e.g. trade, human rights, development, security etc.) followed by a diverse set of actors with contradicting interests (Harvey, 201</w:t>
      </w:r>
      <w:r>
        <w:rPr>
          <w:rFonts w:ascii="Times New Roman" w:hAnsi="Times New Roman" w:cs="Times New Roman"/>
          <w:sz w:val="24"/>
          <w:szCs w:val="24"/>
        </w:rPr>
        <w:t>2</w:t>
      </w:r>
      <w:r w:rsidRPr="005C1435">
        <w:rPr>
          <w:rFonts w:ascii="Times New Roman" w:hAnsi="Times New Roman" w:cs="Times New Roman"/>
          <w:sz w:val="24"/>
          <w:szCs w:val="24"/>
        </w:rPr>
        <w:t xml:space="preserve">; </w:t>
      </w:r>
      <w:r w:rsidRPr="00024D55">
        <w:rPr>
          <w:rFonts w:ascii="Times New Roman" w:eastAsiaTheme="minorEastAsia" w:hAnsi="Times New Roman" w:cs="Times New Roman"/>
          <w:sz w:val="24"/>
          <w:szCs w:val="24"/>
          <w:lang w:eastAsia="zh-CN"/>
        </w:rPr>
        <w:t>Kuhn and McAusland, 2006</w:t>
      </w:r>
      <w:r w:rsidRPr="005C1435">
        <w:rPr>
          <w:rFonts w:ascii="Times New Roman" w:eastAsiaTheme="minorEastAsia" w:hAnsi="Times New Roman" w:cs="Times New Roman"/>
          <w:sz w:val="24"/>
          <w:szCs w:val="24"/>
          <w:lang w:eastAsia="zh-CN"/>
        </w:rPr>
        <w:t>).</w:t>
      </w:r>
      <w:r>
        <w:rPr>
          <w:rFonts w:ascii="Times New Roman" w:eastAsiaTheme="minorEastAsia" w:hAnsi="Times New Roman" w:cs="Times New Roman"/>
          <w:sz w:val="24"/>
          <w:szCs w:val="24"/>
          <w:lang w:eastAsia="zh-CN"/>
        </w:rPr>
        <w:t xml:space="preserve"> Therefore</w:t>
      </w:r>
      <w:r w:rsidRPr="005C1435">
        <w:rPr>
          <w:rFonts w:ascii="Times New Roman" w:eastAsiaTheme="minorEastAsia" w:hAnsi="Times New Roman" w:cs="Times New Roman"/>
          <w:sz w:val="24"/>
          <w:szCs w:val="24"/>
          <w:lang w:eastAsia="zh-CN"/>
        </w:rPr>
        <w:t xml:space="preserve">, the consideration of the migration literature becomes central to this research. The Neoclassical theories of workforce immigration emphasise </w:t>
      </w:r>
      <w:r>
        <w:rPr>
          <w:rFonts w:ascii="Times New Roman" w:eastAsiaTheme="minorEastAsia" w:hAnsi="Times New Roman" w:cs="Times New Roman"/>
          <w:sz w:val="24"/>
          <w:szCs w:val="24"/>
          <w:lang w:eastAsia="zh-CN"/>
        </w:rPr>
        <w:t xml:space="preserve">on </w:t>
      </w:r>
      <w:r w:rsidRPr="005C1435">
        <w:rPr>
          <w:rFonts w:ascii="Times New Roman" w:eastAsiaTheme="minorEastAsia" w:hAnsi="Times New Roman" w:cs="Times New Roman"/>
          <w:sz w:val="24"/>
          <w:szCs w:val="24"/>
          <w:lang w:eastAsia="zh-CN"/>
        </w:rPr>
        <w:t xml:space="preserve">the employment opportunities being offered to individuals both within their home countries and across borders, and their intention to emigrate so as to secure better work </w:t>
      </w:r>
      <w:r w:rsidRPr="0024724A">
        <w:rPr>
          <w:rFonts w:ascii="Times New Roman" w:eastAsiaTheme="minorEastAsia" w:hAnsi="Times New Roman" w:cs="Times New Roman"/>
          <w:sz w:val="24"/>
          <w:szCs w:val="24"/>
          <w:lang w:eastAsia="zh-CN"/>
        </w:rPr>
        <w:t>earnings (Kubursi, 2006). Thus, it is believed that brain mobility is driven by individuals’ willingness to maximise the positive outcomes of their career decisions (Joly, 2004). Dual Labour Market Theory suggests that the pull over the push factors play a more significant role in individuals’ willingness to emigrate due to the greater labour demands on behalf of the host countries (Jennissen, 2006). The world systems theory suggests that workforce immigration is capitalism’s by-product by simply arguing that labour migration depends on where feasible and better opportunities are offered (Bonifazi, 2001). Network theory proposes that interactions between individuals and their network of relatives and friends in the host countries associate with their decision to emigrate (IOM, 2004). This theory could constitute the basis to explain the large brain-inflows to specific countries across the globe (e.g. Greek and Portuguese to UK). Overall, migration literature describe brain mobility as a process that relates with supply and demand in labour markets</w:t>
      </w:r>
      <w:r w:rsidRPr="005C1435">
        <w:rPr>
          <w:rFonts w:ascii="Times New Roman" w:eastAsiaTheme="minorEastAsia" w:hAnsi="Times New Roman" w:cs="Times New Roman"/>
          <w:sz w:val="24"/>
          <w:szCs w:val="24"/>
          <w:lang w:eastAsia="zh-CN"/>
        </w:rPr>
        <w:t>, by further suggesting that these can help reduce the supply and demand imbalances being presented within the labour markets, to remove pay inequalities amongst countries, and for promoting the economic growth of both the sending and the hosting county. To a large extent, immigration theories suggest that brain mobility do not just occur owing to social and economic circumstances (and/or due to the push and pull factors), but other factor are also at play (e.g. government policies etc.) of similar importance.</w:t>
      </w:r>
      <w:r w:rsidR="001F4C90" w:rsidRPr="005C1435">
        <w:rPr>
          <w:rFonts w:ascii="Times New Roman" w:eastAsiaTheme="minorEastAsia" w:hAnsi="Times New Roman" w:cs="Times New Roman"/>
          <w:sz w:val="24"/>
          <w:szCs w:val="24"/>
          <w:lang w:eastAsia="zh-CN"/>
        </w:rPr>
        <w:t xml:space="preserve"> </w:t>
      </w:r>
    </w:p>
    <w:p w14:paraId="27BCA072" w14:textId="48F70137" w:rsidR="001F4C90" w:rsidRDefault="001F4C90" w:rsidP="001F4C90">
      <w:pPr>
        <w:autoSpaceDE w:val="0"/>
        <w:autoSpaceDN w:val="0"/>
        <w:adjustRightInd w:val="0"/>
        <w:spacing w:after="0" w:line="240" w:lineRule="auto"/>
        <w:jc w:val="both"/>
        <w:rPr>
          <w:rFonts w:ascii="Times New Roman" w:eastAsiaTheme="minorEastAsia" w:hAnsi="Times New Roman" w:cs="Times New Roman"/>
          <w:sz w:val="24"/>
          <w:szCs w:val="24"/>
          <w:lang w:eastAsia="zh-CN"/>
        </w:rPr>
      </w:pPr>
    </w:p>
    <w:p w14:paraId="1CC6653B" w14:textId="2F962D1E" w:rsidR="001F0CE9" w:rsidRDefault="00CB5638" w:rsidP="001F0CE9">
      <w:pPr>
        <w:pStyle w:val="Default"/>
        <w:contextualSpacing/>
        <w:jc w:val="both"/>
        <w:rPr>
          <w:rFonts w:eastAsia="Calibri"/>
          <w:bCs/>
          <w:lang w:eastAsia="en-GB"/>
        </w:rPr>
      </w:pPr>
      <w:r>
        <w:t xml:space="preserve">Indeed a </w:t>
      </w:r>
      <w:r w:rsidRPr="00A71693">
        <w:rPr>
          <w:rFonts w:eastAsia="Calibri"/>
          <w:bCs/>
          <w:lang w:eastAsia="en-GB"/>
        </w:rPr>
        <w:t>number of research studies have</w:t>
      </w:r>
      <w:r>
        <w:rPr>
          <w:rFonts w:eastAsia="Calibri"/>
          <w:bCs/>
          <w:lang w:eastAsia="en-GB"/>
        </w:rPr>
        <w:t xml:space="preserve"> also</w:t>
      </w:r>
      <w:r w:rsidRPr="00A71693">
        <w:rPr>
          <w:rFonts w:eastAsia="Calibri"/>
          <w:bCs/>
          <w:lang w:eastAsia="en-GB"/>
        </w:rPr>
        <w:t xml:space="preserve"> indicated that the role of national political frameworks towards migration policies is crucial in understanding the problems faced by migrants in the workplace. </w:t>
      </w:r>
      <w:r>
        <w:rPr>
          <w:rFonts w:eastAsia="Calibri"/>
          <w:bCs/>
          <w:lang w:eastAsia="en-GB"/>
        </w:rPr>
        <w:t>M</w:t>
      </w:r>
      <w:r w:rsidRPr="00BE66F0">
        <w:rPr>
          <w:rFonts w:eastAsia="Calibri"/>
          <w:bCs/>
          <w:lang w:eastAsia="en-GB"/>
        </w:rPr>
        <w:t>uch of academic research has focused on the consequences of migrants not entering the labour market and failing to integrate into the society (</w:t>
      </w:r>
      <w:r w:rsidRPr="00B22DB9">
        <w:rPr>
          <w:rFonts w:eastAsia="Calibri"/>
          <w:bCs/>
          <w:color w:val="auto"/>
          <w:lang w:eastAsia="en-GB"/>
        </w:rPr>
        <w:t>Hakak and Ariss, 2013</w:t>
      </w:r>
      <w:r w:rsidRPr="00BE66F0">
        <w:rPr>
          <w:rFonts w:eastAsia="Calibri"/>
          <w:bCs/>
          <w:lang w:eastAsia="en-GB"/>
        </w:rPr>
        <w:t>). Scholars have also given extensive attention on the organisational benefits and challenges of workforce diversity for organisations (</w:t>
      </w:r>
      <w:r w:rsidRPr="00F00A7F">
        <w:rPr>
          <w:rFonts w:eastAsia="Calibri"/>
          <w:bCs/>
          <w:color w:val="auto"/>
          <w:lang w:eastAsia="en-GB"/>
        </w:rPr>
        <w:t>Shen et al., 2009</w:t>
      </w:r>
      <w:r w:rsidRPr="00BE66F0">
        <w:rPr>
          <w:rFonts w:eastAsia="Calibri"/>
          <w:bCs/>
          <w:lang w:eastAsia="en-GB"/>
        </w:rPr>
        <w:t xml:space="preserve">). However, little attention has been given to the experiences and perception of integration of </w:t>
      </w:r>
      <w:r>
        <w:rPr>
          <w:rFonts w:eastAsia="Calibri"/>
          <w:bCs/>
          <w:lang w:eastAsia="en-GB"/>
        </w:rPr>
        <w:t>individuals</w:t>
      </w:r>
      <w:r w:rsidRPr="00BE66F0">
        <w:rPr>
          <w:rFonts w:eastAsia="Calibri"/>
          <w:bCs/>
          <w:lang w:eastAsia="en-GB"/>
        </w:rPr>
        <w:t xml:space="preserve"> who have been able to enter the labour market.</w:t>
      </w:r>
      <w:r w:rsidRPr="00AB3023">
        <w:rPr>
          <w:rFonts w:eastAsia="Calibri"/>
          <w:bCs/>
          <w:color w:val="FF0000"/>
          <w:lang w:eastAsia="en-GB"/>
        </w:rPr>
        <w:t xml:space="preserve"> </w:t>
      </w:r>
      <w:r w:rsidRPr="00AB3023">
        <w:rPr>
          <w:rFonts w:eastAsia="Calibri"/>
          <w:bCs/>
          <w:lang w:eastAsia="en-GB"/>
        </w:rPr>
        <w:t>Although previous research has focused on national policy frameworks to understand the integration of migrant labour into the society, recent studies also began to recognise the role of employers (</w:t>
      </w:r>
      <w:r>
        <w:rPr>
          <w:rFonts w:eastAsia="Calibri"/>
          <w:bCs/>
          <w:color w:val="auto"/>
          <w:lang w:eastAsia="en-GB"/>
        </w:rPr>
        <w:t>McGovern</w:t>
      </w:r>
      <w:r w:rsidRPr="00F00A7F">
        <w:rPr>
          <w:rFonts w:eastAsia="Calibri"/>
          <w:bCs/>
          <w:color w:val="auto"/>
          <w:lang w:eastAsia="en-GB"/>
        </w:rPr>
        <w:t>, 2007; MacKenzie and Forde, 2009</w:t>
      </w:r>
      <w:r w:rsidRPr="00AB3023">
        <w:rPr>
          <w:rFonts w:eastAsia="Calibri"/>
          <w:bCs/>
          <w:lang w:eastAsia="en-GB"/>
        </w:rPr>
        <w:t xml:space="preserve">). For instance, </w:t>
      </w:r>
      <w:r w:rsidRPr="00F00A7F">
        <w:rPr>
          <w:rFonts w:eastAsia="Calibri"/>
          <w:bCs/>
          <w:color w:val="auto"/>
          <w:lang w:eastAsia="en-GB"/>
        </w:rPr>
        <w:t xml:space="preserve">Rodriguez (2006: 453) </w:t>
      </w:r>
      <w:r w:rsidRPr="00AB3023">
        <w:rPr>
          <w:rFonts w:eastAsia="Calibri"/>
          <w:bCs/>
          <w:lang w:eastAsia="en-GB"/>
        </w:rPr>
        <w:t>argues that in the US “employers play an important if not critical role in the development of immigrant labour streams, ranging from passive hirer to central organizer”. Employers, then, become key gatekeepers to the entry of migrant labour into the labour market and to their further integration within the workplace and society as a whole. It is natural that researchers have been increasingly acknowledging the key role that the relationship created between the employer and the migrant worker has in the process of understanding migrant individuals within the society and workplace (</w:t>
      </w:r>
      <w:r w:rsidRPr="00F00A7F">
        <w:rPr>
          <w:rFonts w:eastAsia="Calibri"/>
          <w:bCs/>
          <w:color w:val="auto"/>
          <w:lang w:eastAsia="en-GB"/>
        </w:rPr>
        <w:t>Fellini et al., 2007; McGovern, 2007; MacKenzie and Forde, 2009; Thompson et al., 2013</w:t>
      </w:r>
      <w:r w:rsidRPr="00AB3023">
        <w:rPr>
          <w:rFonts w:eastAsia="Calibri"/>
          <w:bCs/>
          <w:lang w:eastAsia="en-GB"/>
        </w:rPr>
        <w:t>).</w:t>
      </w:r>
      <w:r>
        <w:rPr>
          <w:rFonts w:eastAsia="Calibri"/>
          <w:bCs/>
          <w:lang w:eastAsia="en-GB"/>
        </w:rPr>
        <w:t xml:space="preserve"> </w:t>
      </w:r>
      <w:r w:rsidRPr="000E258A">
        <w:rPr>
          <w:rFonts w:eastAsia="Calibri"/>
          <w:bCs/>
          <w:lang w:eastAsia="en-GB"/>
        </w:rPr>
        <w:t xml:space="preserve">The key argument is that to understand </w:t>
      </w:r>
      <w:r>
        <w:rPr>
          <w:rFonts w:eastAsia="Calibri"/>
          <w:bCs/>
          <w:lang w:eastAsia="en-GB"/>
        </w:rPr>
        <w:t>migrant workers’ social</w:t>
      </w:r>
      <w:r w:rsidRPr="000E258A">
        <w:rPr>
          <w:rFonts w:eastAsia="Calibri"/>
          <w:bCs/>
          <w:lang w:eastAsia="en-GB"/>
        </w:rPr>
        <w:t xml:space="preserve"> integration </w:t>
      </w:r>
      <w:r>
        <w:rPr>
          <w:rFonts w:eastAsia="Calibri"/>
          <w:bCs/>
          <w:lang w:eastAsia="en-GB"/>
        </w:rPr>
        <w:t>at the workplace</w:t>
      </w:r>
      <w:r w:rsidRPr="000E258A">
        <w:rPr>
          <w:rFonts w:eastAsia="Calibri"/>
          <w:bCs/>
          <w:lang w:eastAsia="en-GB"/>
        </w:rPr>
        <w:t>, one has to include the workpla</w:t>
      </w:r>
      <w:r>
        <w:rPr>
          <w:rFonts w:eastAsia="Calibri"/>
          <w:bCs/>
          <w:lang w:eastAsia="en-GB"/>
        </w:rPr>
        <w:t>ce context within the analysis.</w:t>
      </w:r>
    </w:p>
    <w:p w14:paraId="61433DC9" w14:textId="1B52EE3F" w:rsidR="00460900" w:rsidRDefault="00460900" w:rsidP="001F4C90">
      <w:pPr>
        <w:autoSpaceDE w:val="0"/>
        <w:autoSpaceDN w:val="0"/>
        <w:adjustRightInd w:val="0"/>
        <w:spacing w:after="0" w:line="240" w:lineRule="auto"/>
        <w:jc w:val="both"/>
        <w:rPr>
          <w:rFonts w:ascii="Times New Roman" w:hAnsi="Times New Roman" w:cs="Times New Roman"/>
          <w:sz w:val="24"/>
          <w:szCs w:val="24"/>
        </w:rPr>
      </w:pPr>
    </w:p>
    <w:p w14:paraId="6594D499" w14:textId="6B6A3375" w:rsidR="00F33B0A" w:rsidRPr="00530603" w:rsidRDefault="007265B4" w:rsidP="001F4C90">
      <w:pPr>
        <w:autoSpaceDE w:val="0"/>
        <w:autoSpaceDN w:val="0"/>
        <w:adjustRightInd w:val="0"/>
        <w:spacing w:after="0" w:line="240" w:lineRule="auto"/>
        <w:jc w:val="both"/>
        <w:rPr>
          <w:rFonts w:ascii="Times New Roman" w:hAnsi="Times New Roman" w:cs="Times New Roman"/>
          <w:sz w:val="24"/>
          <w:szCs w:val="24"/>
        </w:rPr>
      </w:pPr>
      <w:r w:rsidRPr="005C1435">
        <w:rPr>
          <w:rFonts w:ascii="Times New Roman" w:hAnsi="Times New Roman" w:cs="Times New Roman"/>
          <w:sz w:val="24"/>
          <w:szCs w:val="24"/>
        </w:rPr>
        <w:t xml:space="preserve">In some other cases, individuals’ social integration at the workplace is not successful </w:t>
      </w:r>
      <w:r>
        <w:rPr>
          <w:rFonts w:ascii="Times New Roman" w:hAnsi="Times New Roman" w:cs="Times New Roman"/>
          <w:sz w:val="24"/>
          <w:szCs w:val="24"/>
        </w:rPr>
        <w:t xml:space="preserve">due to </w:t>
      </w:r>
      <w:r w:rsidRPr="00890DBB">
        <w:rPr>
          <w:rFonts w:ascii="Times New Roman" w:hAnsi="Times New Roman" w:cs="Times New Roman"/>
          <w:sz w:val="24"/>
          <w:szCs w:val="24"/>
        </w:rPr>
        <w:t xml:space="preserve">unexpected and unfavourable working conditions, poor management, inadequate training budgets, limited social integration </w:t>
      </w:r>
      <w:r w:rsidRPr="007D4479">
        <w:rPr>
          <w:rFonts w:ascii="Times New Roman" w:hAnsi="Times New Roman" w:cs="Times New Roman"/>
          <w:sz w:val="24"/>
          <w:szCs w:val="24"/>
        </w:rPr>
        <w:t xml:space="preserve">due to the social change related to migration etc. </w:t>
      </w:r>
      <w:r w:rsidRPr="008309B2">
        <w:rPr>
          <w:rFonts w:ascii="Times New Roman" w:hAnsi="Times New Roman" w:cs="Times New Roman"/>
          <w:sz w:val="24"/>
          <w:szCs w:val="24"/>
        </w:rPr>
        <w:t xml:space="preserve">(Favell, </w:t>
      </w:r>
      <w:r w:rsidRPr="008309B2">
        <w:rPr>
          <w:rFonts w:ascii="Times New Roman" w:hAnsi="Times New Roman" w:cs="Times New Roman"/>
          <w:sz w:val="24"/>
          <w:szCs w:val="24"/>
        </w:rPr>
        <w:lastRenderedPageBreak/>
        <w:t>2014; Ag</w:t>
      </w:r>
      <w:r w:rsidRPr="00024D55">
        <w:rPr>
          <w:rFonts w:ascii="Times New Roman" w:hAnsi="Times New Roman" w:cs="Times New Roman"/>
          <w:sz w:val="24"/>
          <w:szCs w:val="24"/>
        </w:rPr>
        <w:t>rawal et al., 2011; Gurria, 2011</w:t>
      </w:r>
      <w:r w:rsidRPr="007D4479">
        <w:rPr>
          <w:rFonts w:ascii="Times New Roman" w:hAnsi="Times New Roman" w:cs="Times New Roman"/>
          <w:sz w:val="24"/>
          <w:szCs w:val="24"/>
        </w:rPr>
        <w:t>).</w:t>
      </w:r>
      <w:r>
        <w:rPr>
          <w:rFonts w:ascii="Times New Roman" w:hAnsi="Times New Roman" w:cs="Times New Roman"/>
          <w:sz w:val="24"/>
          <w:szCs w:val="24"/>
        </w:rPr>
        <w:t xml:space="preserve"> </w:t>
      </w:r>
      <w:r w:rsidRPr="007D4479">
        <w:rPr>
          <w:rFonts w:ascii="Times New Roman" w:hAnsi="Times New Roman" w:cs="Times New Roman"/>
          <w:sz w:val="24"/>
          <w:szCs w:val="24"/>
        </w:rPr>
        <w:t xml:space="preserve">As to that, </w:t>
      </w:r>
      <w:r w:rsidRPr="007D4479">
        <w:rPr>
          <w:rFonts w:ascii="Times New Roman" w:eastAsia="Calibri" w:hAnsi="Times New Roman" w:cs="Times New Roman"/>
          <w:bCs/>
          <w:sz w:val="24"/>
          <w:szCs w:val="24"/>
          <w:lang w:eastAsia="en-GB"/>
        </w:rPr>
        <w:t>it is widely agreed that companies’ decision of hiring migrant labour is rooted in coping with labour shortages and minimising labour costs (</w:t>
      </w:r>
      <w:r w:rsidRPr="00F00A7F">
        <w:rPr>
          <w:rFonts w:ascii="Times New Roman" w:eastAsia="Calibri" w:hAnsi="Times New Roman" w:cs="Times New Roman"/>
          <w:bCs/>
          <w:sz w:val="24"/>
          <w:szCs w:val="24"/>
          <w:lang w:eastAsia="en-GB"/>
        </w:rPr>
        <w:t>Fellini et al., 2007</w:t>
      </w:r>
      <w:r w:rsidRPr="007D4479">
        <w:rPr>
          <w:rFonts w:ascii="Times New Roman" w:eastAsia="Calibri" w:hAnsi="Times New Roman" w:cs="Times New Roman"/>
          <w:bCs/>
          <w:sz w:val="24"/>
          <w:szCs w:val="24"/>
          <w:lang w:eastAsia="en-GB"/>
        </w:rPr>
        <w:t xml:space="preserve">). Although this argument is logically and empirically sound, </w:t>
      </w:r>
      <w:r w:rsidRPr="00F00A7F">
        <w:rPr>
          <w:rFonts w:ascii="Times New Roman" w:eastAsia="Calibri" w:hAnsi="Times New Roman" w:cs="Times New Roman"/>
          <w:bCs/>
          <w:sz w:val="24"/>
          <w:szCs w:val="24"/>
          <w:lang w:eastAsia="en-GB"/>
        </w:rPr>
        <w:t xml:space="preserve">Dench et al. (2006) </w:t>
      </w:r>
      <w:r w:rsidRPr="007D4479">
        <w:rPr>
          <w:rFonts w:ascii="Times New Roman" w:eastAsia="Calibri" w:hAnsi="Times New Roman" w:cs="Times New Roman"/>
          <w:bCs/>
          <w:sz w:val="24"/>
          <w:szCs w:val="24"/>
          <w:lang w:eastAsia="en-GB"/>
        </w:rPr>
        <w:t>suggests that deeper reasons could lie beneath the more cost-driven forces. The literature proposes an image of migrant labour being more motivated committed and disciplined and having more work ethic compared to the national worker (</w:t>
      </w:r>
      <w:r w:rsidRPr="00F00A7F">
        <w:rPr>
          <w:rFonts w:ascii="Times New Roman" w:eastAsia="Calibri" w:hAnsi="Times New Roman" w:cs="Times New Roman"/>
          <w:bCs/>
          <w:sz w:val="24"/>
          <w:szCs w:val="24"/>
          <w:lang w:eastAsia="en-GB"/>
        </w:rPr>
        <w:t xml:space="preserve">Rodriguez, 2006; Dench et al., 2006; CIPD, </w:t>
      </w:r>
      <w:r w:rsidR="00BB43E5">
        <w:rPr>
          <w:rFonts w:ascii="Times New Roman" w:eastAsia="Calibri" w:hAnsi="Times New Roman" w:cs="Times New Roman"/>
          <w:bCs/>
          <w:sz w:val="24"/>
          <w:szCs w:val="24"/>
          <w:lang w:eastAsia="en-GB"/>
        </w:rPr>
        <w:t>2017</w:t>
      </w:r>
      <w:r w:rsidRPr="007D4479">
        <w:rPr>
          <w:rFonts w:ascii="Times New Roman" w:eastAsia="Calibri" w:hAnsi="Times New Roman" w:cs="Times New Roman"/>
          <w:bCs/>
          <w:sz w:val="24"/>
          <w:szCs w:val="24"/>
          <w:lang w:eastAsia="en-GB"/>
        </w:rPr>
        <w:t xml:space="preserve">). This image of “good worker” is particularly well illustrated in </w:t>
      </w:r>
      <w:r w:rsidRPr="00F00A7F">
        <w:rPr>
          <w:rFonts w:ascii="Times New Roman" w:eastAsia="Calibri" w:hAnsi="Times New Roman" w:cs="Times New Roman"/>
          <w:bCs/>
          <w:sz w:val="24"/>
          <w:szCs w:val="24"/>
          <w:lang w:eastAsia="en-GB"/>
        </w:rPr>
        <w:t xml:space="preserve">MacKenzie and Forde’s (2009) </w:t>
      </w:r>
      <w:r w:rsidRPr="007D4479">
        <w:rPr>
          <w:rFonts w:ascii="Times New Roman" w:eastAsia="Calibri" w:hAnsi="Times New Roman" w:cs="Times New Roman"/>
          <w:bCs/>
          <w:sz w:val="24"/>
          <w:szCs w:val="24"/>
          <w:lang w:eastAsia="en-GB"/>
        </w:rPr>
        <w:t>study. They report the managerial perception on European migrants as having a great attitude towards work and their willingness to work successive hours without stopping. This image resonates with that of a vulnerable migrant worker who is often subject to extensive employer control and exploitation in both the working and personal lives (</w:t>
      </w:r>
      <w:r w:rsidRPr="00F00A7F">
        <w:rPr>
          <w:rFonts w:ascii="Times New Roman" w:eastAsia="Calibri" w:hAnsi="Times New Roman" w:cs="Times New Roman"/>
          <w:bCs/>
          <w:sz w:val="24"/>
          <w:szCs w:val="24"/>
          <w:lang w:eastAsia="en-GB"/>
        </w:rPr>
        <w:t xml:space="preserve">Dundon et al., (2007). </w:t>
      </w:r>
      <w:r w:rsidRPr="007D4479">
        <w:rPr>
          <w:rFonts w:ascii="Times New Roman" w:eastAsia="Calibri" w:hAnsi="Times New Roman" w:cs="Times New Roman"/>
          <w:bCs/>
          <w:sz w:val="24"/>
          <w:szCs w:val="24"/>
          <w:lang w:eastAsia="en-GB"/>
        </w:rPr>
        <w:t xml:space="preserve">For instance, </w:t>
      </w:r>
      <w:r w:rsidRPr="00F00A7F">
        <w:rPr>
          <w:rFonts w:ascii="Times New Roman" w:eastAsia="Calibri" w:hAnsi="Times New Roman" w:cs="Times New Roman"/>
          <w:bCs/>
          <w:sz w:val="24"/>
          <w:szCs w:val="24"/>
          <w:lang w:eastAsia="en-GB"/>
        </w:rPr>
        <w:t>Anderson (2010</w:t>
      </w:r>
      <w:r w:rsidRPr="007D4479">
        <w:rPr>
          <w:rFonts w:ascii="Times New Roman" w:eastAsia="Calibri" w:hAnsi="Times New Roman" w:cs="Times New Roman"/>
          <w:bCs/>
          <w:sz w:val="24"/>
          <w:szCs w:val="24"/>
          <w:lang w:eastAsia="en-GB"/>
        </w:rPr>
        <w:t xml:space="preserve">) reports that migrant workers often </w:t>
      </w:r>
      <w:r w:rsidRPr="00530603">
        <w:rPr>
          <w:rFonts w:ascii="Times New Roman" w:eastAsia="Calibri" w:hAnsi="Times New Roman" w:cs="Times New Roman"/>
          <w:bCs/>
          <w:sz w:val="24"/>
          <w:szCs w:val="24"/>
          <w:lang w:eastAsia="en-GB"/>
        </w:rPr>
        <w:t>experience forms of employment characterised by uncertainty, atypical contracts and insecurity. Therefore, the key determinant of social integration at the workplace associates with diversity management and strategic thinking of people-centred policies</w:t>
      </w:r>
      <w:r>
        <w:rPr>
          <w:rFonts w:ascii="Times New Roman" w:eastAsia="Calibri" w:hAnsi="Times New Roman" w:cs="Times New Roman"/>
          <w:bCs/>
          <w:sz w:val="24"/>
          <w:szCs w:val="24"/>
          <w:lang w:eastAsia="en-GB"/>
        </w:rPr>
        <w:t xml:space="preserve"> </w:t>
      </w:r>
      <w:r w:rsidRPr="00890DBB">
        <w:rPr>
          <w:rFonts w:ascii="Times New Roman" w:hAnsi="Times New Roman" w:cs="Times New Roman"/>
          <w:sz w:val="24"/>
          <w:szCs w:val="24"/>
        </w:rPr>
        <w:t>(Bosswick and Heckmann, 2006).</w:t>
      </w:r>
      <w:r w:rsidRPr="00530603">
        <w:rPr>
          <w:rFonts w:ascii="Times New Roman" w:eastAsia="Calibri" w:hAnsi="Times New Roman" w:cs="Times New Roman"/>
          <w:bCs/>
          <w:sz w:val="24"/>
          <w:szCs w:val="24"/>
          <w:lang w:eastAsia="en-GB"/>
        </w:rPr>
        <w:t xml:space="preserve"> One of the key areas in managing a diverse workforce is training (</w:t>
      </w:r>
      <w:r w:rsidRPr="00F00A7F">
        <w:rPr>
          <w:rFonts w:ascii="Times New Roman" w:eastAsia="Calibri" w:hAnsi="Times New Roman" w:cs="Times New Roman"/>
          <w:bCs/>
          <w:sz w:val="24"/>
          <w:szCs w:val="24"/>
          <w:lang w:eastAsia="en-GB"/>
        </w:rPr>
        <w:t>Shen et al., 2009</w:t>
      </w:r>
      <w:r w:rsidRPr="00530603">
        <w:rPr>
          <w:rFonts w:ascii="Times New Roman" w:eastAsia="Calibri" w:hAnsi="Times New Roman" w:cs="Times New Roman"/>
          <w:bCs/>
          <w:sz w:val="24"/>
          <w:szCs w:val="24"/>
          <w:lang w:eastAsia="en-GB"/>
        </w:rPr>
        <w:t>).</w:t>
      </w:r>
    </w:p>
    <w:p w14:paraId="3BD2407A" w14:textId="77777777" w:rsidR="001F4C90" w:rsidRPr="00890DBB" w:rsidRDefault="001F4C90" w:rsidP="001F4C90">
      <w:pPr>
        <w:autoSpaceDE w:val="0"/>
        <w:autoSpaceDN w:val="0"/>
        <w:adjustRightInd w:val="0"/>
        <w:spacing w:after="0" w:line="240" w:lineRule="auto"/>
        <w:jc w:val="both"/>
        <w:rPr>
          <w:rFonts w:ascii="Times New Roman" w:hAnsi="Times New Roman" w:cs="Times New Roman"/>
          <w:sz w:val="24"/>
          <w:szCs w:val="24"/>
        </w:rPr>
      </w:pPr>
    </w:p>
    <w:p w14:paraId="0C004E62" w14:textId="2C70C0C1" w:rsidR="001F4C90" w:rsidRPr="00890DBB" w:rsidRDefault="00E33F41" w:rsidP="001F4C90">
      <w:pPr>
        <w:pStyle w:val="Default"/>
        <w:contextualSpacing/>
        <w:jc w:val="both"/>
      </w:pPr>
      <w:r w:rsidRPr="00890DBB">
        <w:t>Diversity training refers to all the strategies focusing on managing diversity at the workplace (</w:t>
      </w:r>
      <w:r w:rsidRPr="00684B77">
        <w:t>Herring and Henderson, 2015</w:t>
      </w:r>
      <w:r w:rsidRPr="00890DBB">
        <w:t>). It involves creating a supporting climate of all employees’ social integration at the workplace so to contribute collectively to organisational goals (ibid). It further represents an important social network and structural aspect that can determine social support, cohesion and social capital (</w:t>
      </w:r>
      <w:r w:rsidRPr="00F67A64">
        <w:t>Song, 2012; Berkman and Glass, 2000</w:t>
      </w:r>
      <w:r w:rsidRPr="00890DBB">
        <w:t>). Effective diversity training programmes could also facilitate business communication. Eventually that could facilitate individuals’ bonding within their workplace colleagues so as to reach a consensus on their roles and goals (Song, 2012).</w:t>
      </w:r>
      <w:r>
        <w:t xml:space="preserve"> </w:t>
      </w:r>
      <w:r w:rsidRPr="000E258A">
        <w:rPr>
          <w:rFonts w:eastAsia="Calibri"/>
          <w:bCs/>
          <w:lang w:eastAsia="en-GB"/>
        </w:rPr>
        <w:t>In the UK, professional bodies of HRM have been increasingly concerned with the challenge of implementing HR-related diversity programmes (</w:t>
      </w:r>
      <w:r w:rsidRPr="00B22DB9">
        <w:rPr>
          <w:rFonts w:eastAsia="Calibri"/>
          <w:bCs/>
          <w:color w:val="auto"/>
          <w:lang w:eastAsia="en-GB"/>
        </w:rPr>
        <w:t xml:space="preserve">CIPD, </w:t>
      </w:r>
      <w:r w:rsidR="00BB43E5">
        <w:rPr>
          <w:rFonts w:eastAsia="Calibri"/>
          <w:bCs/>
          <w:color w:val="auto"/>
          <w:lang w:eastAsia="en-GB"/>
        </w:rPr>
        <w:t>2017</w:t>
      </w:r>
      <w:r w:rsidRPr="000E258A">
        <w:rPr>
          <w:rFonts w:eastAsia="Calibri"/>
          <w:bCs/>
          <w:lang w:eastAsia="en-GB"/>
        </w:rPr>
        <w:t xml:space="preserve">). A significant part of these programmes are related to training that aim at better integrating migrant and minority groups to mitigate the organisational and societal problems raised previously in this paper. For instance, affirmative organisational action practices such as diversity training </w:t>
      </w:r>
      <w:r>
        <w:rPr>
          <w:rFonts w:eastAsia="Calibri"/>
          <w:bCs/>
          <w:lang w:eastAsia="en-GB"/>
        </w:rPr>
        <w:t>have been introduced</w:t>
      </w:r>
      <w:r w:rsidRPr="000E258A">
        <w:rPr>
          <w:rFonts w:eastAsia="Calibri"/>
          <w:bCs/>
          <w:lang w:eastAsia="en-GB"/>
        </w:rPr>
        <w:t xml:space="preserve"> to counter integration problems, discrimination, and harassment episodes (</w:t>
      </w:r>
      <w:r w:rsidRPr="00B22DB9">
        <w:rPr>
          <w:rFonts w:eastAsia="Calibri"/>
          <w:bCs/>
          <w:color w:val="auto"/>
          <w:lang w:eastAsia="en-GB"/>
        </w:rPr>
        <w:t>Shen et al., 2009;</w:t>
      </w:r>
      <w:r>
        <w:rPr>
          <w:rFonts w:eastAsia="Calibri"/>
          <w:bCs/>
          <w:color w:val="FF0000"/>
          <w:lang w:eastAsia="en-GB"/>
        </w:rPr>
        <w:t xml:space="preserve"> </w:t>
      </w:r>
      <w:r w:rsidRPr="00890DBB">
        <w:t>Stewart and Tansley, 2002; Swart et al., 2003; Nafukho et al., 2004; Swanson, 2001</w:t>
      </w:r>
      <w:r w:rsidRPr="000E258A">
        <w:rPr>
          <w:rFonts w:eastAsia="Calibri"/>
          <w:bCs/>
          <w:lang w:eastAsia="en-GB"/>
        </w:rPr>
        <w:t>). The diversity training programmes that have been widely used by consultancy firms are often seen as means of fostering the integration of migrant labour and minorities through decreasing levels of cultural and language marginalisation (</w:t>
      </w:r>
      <w:r w:rsidRPr="00B22DB9">
        <w:rPr>
          <w:rFonts w:eastAsia="Calibri"/>
          <w:bCs/>
          <w:color w:val="auto"/>
          <w:lang w:eastAsia="en-GB"/>
        </w:rPr>
        <w:t>Bhagat and London, 1999</w:t>
      </w:r>
      <w:r w:rsidRPr="000E258A">
        <w:rPr>
          <w:rFonts w:eastAsia="Calibri"/>
          <w:bCs/>
          <w:lang w:eastAsia="en-GB"/>
        </w:rPr>
        <w:t>).</w:t>
      </w:r>
      <w:r w:rsidRPr="00890DBB">
        <w:t xml:space="preserve"> Employees’ social integration at the workplace can</w:t>
      </w:r>
      <w:r>
        <w:t xml:space="preserve"> also</w:t>
      </w:r>
      <w:r w:rsidRPr="00890DBB">
        <w:t xml:space="preserve"> directly associate with many other functional and/or structural aspects of work-related networks that relate to employees’ mental health such as peers’ social support, social cohesion and interaction, and social regulation and/or control (</w:t>
      </w:r>
      <w:r w:rsidRPr="00056FAF">
        <w:t xml:space="preserve">Schmidt and Muller, 2013; </w:t>
      </w:r>
      <w:r w:rsidRPr="00631E59">
        <w:t>Song et al., 2011; 2010</w:t>
      </w:r>
      <w:r w:rsidRPr="00890DBB">
        <w:t xml:space="preserve">). </w:t>
      </w:r>
      <w:r>
        <w:t xml:space="preserve">In that case, </w:t>
      </w:r>
      <w:r w:rsidRPr="00890DBB">
        <w:t>Kessels and Poell (2004)</w:t>
      </w:r>
      <w:r>
        <w:t xml:space="preserve"> argues that </w:t>
      </w:r>
      <w:r w:rsidRPr="00890DBB">
        <w:t xml:space="preserve">organisations should promote the appropriate strategies in helping their employees </w:t>
      </w:r>
      <w:r>
        <w:t>developing their social skills through relevant training</w:t>
      </w:r>
      <w:r w:rsidRPr="00890DBB">
        <w:t xml:space="preserve"> which </w:t>
      </w:r>
      <w:r>
        <w:t>in turn</w:t>
      </w:r>
      <w:r w:rsidRPr="00890DBB">
        <w:t xml:space="preserve"> will </w:t>
      </w:r>
      <w:r>
        <w:t xml:space="preserve">facilitate their social integration at the workplace, along with enhancing organisational </w:t>
      </w:r>
      <w:r w:rsidRPr="00890DBB">
        <w:t>competitive advantage</w:t>
      </w:r>
      <w:r>
        <w:t xml:space="preserve"> </w:t>
      </w:r>
      <w:r w:rsidRPr="00890DBB">
        <w:t>(Mankin, 2009; Wang and Holton, 2005).</w:t>
      </w:r>
    </w:p>
    <w:p w14:paraId="02CBB2B6" w14:textId="77777777" w:rsidR="001F4C90" w:rsidRPr="00890DBB" w:rsidRDefault="001F4C90" w:rsidP="001F4C90">
      <w:pPr>
        <w:autoSpaceDE w:val="0"/>
        <w:autoSpaceDN w:val="0"/>
        <w:adjustRightInd w:val="0"/>
        <w:spacing w:after="0" w:line="240" w:lineRule="auto"/>
        <w:jc w:val="both"/>
        <w:rPr>
          <w:rFonts w:ascii="Times New Roman" w:hAnsi="Times New Roman" w:cs="Times New Roman"/>
          <w:sz w:val="24"/>
          <w:szCs w:val="24"/>
        </w:rPr>
      </w:pPr>
      <w:r w:rsidRPr="00890DBB">
        <w:rPr>
          <w:rFonts w:ascii="Times New Roman" w:hAnsi="Times New Roman" w:cs="Times New Roman"/>
          <w:sz w:val="24"/>
          <w:szCs w:val="24"/>
        </w:rPr>
        <w:t xml:space="preserve">  </w:t>
      </w:r>
    </w:p>
    <w:p w14:paraId="5B93B0EE" w14:textId="7E7780E2" w:rsidR="001F4C90" w:rsidRPr="00A34545" w:rsidRDefault="00C92B9A" w:rsidP="001F4C90">
      <w:pPr>
        <w:autoSpaceDE w:val="0"/>
        <w:autoSpaceDN w:val="0"/>
        <w:adjustRightInd w:val="0"/>
        <w:spacing w:after="0" w:line="240" w:lineRule="auto"/>
        <w:jc w:val="both"/>
        <w:rPr>
          <w:rFonts w:ascii="Times New Roman" w:eastAsiaTheme="minorEastAsia" w:hAnsi="Times New Roman" w:cs="Times New Roman"/>
          <w:sz w:val="24"/>
          <w:szCs w:val="24"/>
          <w:lang w:eastAsia="zh-CN"/>
        </w:rPr>
      </w:pPr>
      <w:r w:rsidRPr="00890DBB">
        <w:rPr>
          <w:rFonts w:ascii="Times New Roman" w:eastAsiaTheme="minorEastAsia" w:hAnsi="Times New Roman" w:cs="Times New Roman"/>
          <w:sz w:val="24"/>
          <w:szCs w:val="24"/>
          <w:lang w:eastAsia="zh-CN"/>
        </w:rPr>
        <w:t xml:space="preserve">Although there has been relevant academic analysis on the importance of brain </w:t>
      </w:r>
      <w:r w:rsidR="009C6D90">
        <w:rPr>
          <w:rFonts w:ascii="Times New Roman" w:eastAsiaTheme="minorEastAsia" w:hAnsi="Times New Roman" w:cs="Times New Roman"/>
          <w:sz w:val="24"/>
          <w:szCs w:val="24"/>
          <w:lang w:eastAsia="zh-CN"/>
        </w:rPr>
        <w:t>mobility (either through a brain-drain or brain-exchange process)</w:t>
      </w:r>
      <w:r w:rsidRPr="00890DBB">
        <w:rPr>
          <w:rFonts w:ascii="Times New Roman" w:eastAsiaTheme="minorEastAsia" w:hAnsi="Times New Roman" w:cs="Times New Roman"/>
          <w:sz w:val="24"/>
          <w:szCs w:val="24"/>
          <w:lang w:eastAsia="zh-CN"/>
        </w:rPr>
        <w:t xml:space="preserve"> and employees’ social integration at the workplace (</w:t>
      </w:r>
      <w:r w:rsidRPr="00024D55">
        <w:rPr>
          <w:rFonts w:ascii="Times New Roman" w:eastAsiaTheme="minorEastAsia" w:hAnsi="Times New Roman" w:cs="Times New Roman"/>
          <w:sz w:val="24"/>
          <w:szCs w:val="24"/>
          <w:lang w:eastAsia="zh-CN"/>
        </w:rPr>
        <w:t>Larner, 2007; Saxenian, 2006; Iredale et al., 2003</w:t>
      </w:r>
      <w:r w:rsidRPr="00890DBB">
        <w:rPr>
          <w:rFonts w:ascii="Times New Roman" w:eastAsiaTheme="minorEastAsia" w:hAnsi="Times New Roman" w:cs="Times New Roman"/>
          <w:sz w:val="24"/>
          <w:szCs w:val="24"/>
          <w:lang w:eastAsia="zh-CN"/>
        </w:rPr>
        <w:t xml:space="preserve">), </w:t>
      </w:r>
      <w:r>
        <w:rPr>
          <w:rFonts w:ascii="Times New Roman" w:eastAsia="Calibri" w:hAnsi="Times New Roman" w:cs="Times New Roman"/>
          <w:bCs/>
          <w:sz w:val="24"/>
          <w:szCs w:val="24"/>
          <w:lang w:eastAsia="en-GB"/>
        </w:rPr>
        <w:t>relevant research on</w:t>
      </w:r>
      <w:r w:rsidRPr="00BE66F0">
        <w:rPr>
          <w:rFonts w:ascii="Times New Roman" w:eastAsia="Calibri" w:hAnsi="Times New Roman" w:cs="Times New Roman"/>
          <w:bCs/>
          <w:sz w:val="24"/>
          <w:szCs w:val="24"/>
          <w:lang w:eastAsia="en-GB"/>
        </w:rPr>
        <w:t xml:space="preserve"> the experiences and perception of integration </w:t>
      </w:r>
      <w:r>
        <w:rPr>
          <w:rFonts w:ascii="Times New Roman" w:eastAsia="Calibri" w:hAnsi="Times New Roman" w:cs="Times New Roman"/>
          <w:bCs/>
          <w:sz w:val="24"/>
          <w:szCs w:val="24"/>
          <w:lang w:eastAsia="en-GB"/>
        </w:rPr>
        <w:t>on behalf of</w:t>
      </w:r>
      <w:r w:rsidRPr="00BE66F0">
        <w:rPr>
          <w:rFonts w:ascii="Times New Roman" w:eastAsia="Calibri" w:hAnsi="Times New Roman" w:cs="Times New Roman"/>
          <w:bCs/>
          <w:sz w:val="24"/>
          <w:szCs w:val="24"/>
          <w:lang w:eastAsia="en-GB"/>
        </w:rPr>
        <w:t xml:space="preserve"> those who have been able to enter the labour market</w:t>
      </w:r>
      <w:r>
        <w:rPr>
          <w:rFonts w:ascii="Times New Roman" w:eastAsia="Calibri" w:hAnsi="Times New Roman" w:cs="Times New Roman"/>
          <w:bCs/>
          <w:sz w:val="24"/>
          <w:szCs w:val="24"/>
          <w:lang w:eastAsia="en-GB"/>
        </w:rPr>
        <w:t xml:space="preserve"> is nascent. Further to that, </w:t>
      </w:r>
      <w:r w:rsidRPr="00890DBB">
        <w:rPr>
          <w:rFonts w:ascii="Times New Roman" w:eastAsiaTheme="minorEastAsia" w:hAnsi="Times New Roman" w:cs="Times New Roman"/>
          <w:sz w:val="24"/>
          <w:szCs w:val="24"/>
          <w:lang w:eastAsia="zh-CN"/>
        </w:rPr>
        <w:t xml:space="preserve">our research </w:t>
      </w:r>
      <w:r>
        <w:rPr>
          <w:rFonts w:ascii="Times New Roman" w:eastAsiaTheme="minorEastAsia" w:hAnsi="Times New Roman" w:cs="Times New Roman"/>
          <w:sz w:val="24"/>
          <w:szCs w:val="24"/>
          <w:lang w:eastAsia="zh-CN"/>
        </w:rPr>
        <w:t>looks at</w:t>
      </w:r>
      <w:r w:rsidRPr="00890DBB">
        <w:rPr>
          <w:rFonts w:ascii="Times New Roman" w:eastAsiaTheme="minorEastAsia" w:hAnsi="Times New Roman" w:cs="Times New Roman"/>
          <w:sz w:val="24"/>
          <w:szCs w:val="24"/>
          <w:lang w:eastAsia="zh-CN"/>
        </w:rPr>
        <w:t xml:space="preserve"> how diversity training could </w:t>
      </w:r>
      <w:r w:rsidRPr="00890DBB">
        <w:rPr>
          <w:rFonts w:ascii="Times New Roman" w:eastAsiaTheme="minorEastAsia" w:hAnsi="Times New Roman" w:cs="Times New Roman"/>
          <w:sz w:val="24"/>
          <w:szCs w:val="24"/>
          <w:lang w:eastAsia="zh-CN"/>
        </w:rPr>
        <w:lastRenderedPageBreak/>
        <w:t xml:space="preserve">facilitate the social integration of </w:t>
      </w:r>
      <w:r>
        <w:rPr>
          <w:rFonts w:ascii="Times New Roman" w:eastAsiaTheme="minorEastAsia" w:hAnsi="Times New Roman" w:cs="Times New Roman"/>
          <w:sz w:val="24"/>
          <w:szCs w:val="24"/>
          <w:lang w:eastAsia="zh-CN"/>
        </w:rPr>
        <w:t>migrant workers</w:t>
      </w:r>
      <w:r w:rsidRPr="00890DBB">
        <w:rPr>
          <w:rFonts w:ascii="Times New Roman" w:eastAsiaTheme="minorEastAsia" w:hAnsi="Times New Roman" w:cs="Times New Roman"/>
          <w:sz w:val="24"/>
          <w:szCs w:val="24"/>
          <w:lang w:eastAsia="zh-CN"/>
        </w:rPr>
        <w:t xml:space="preserve"> at the workplace </w:t>
      </w:r>
      <w:r>
        <w:rPr>
          <w:rFonts w:ascii="Times New Roman" w:eastAsiaTheme="minorEastAsia" w:hAnsi="Times New Roman" w:cs="Times New Roman"/>
          <w:sz w:val="24"/>
          <w:szCs w:val="24"/>
          <w:lang w:eastAsia="zh-CN"/>
        </w:rPr>
        <w:t>through the respective</w:t>
      </w:r>
      <w:r w:rsidRPr="00890DBB">
        <w:rPr>
          <w:rFonts w:ascii="Times New Roman" w:eastAsiaTheme="minorEastAsia" w:hAnsi="Times New Roman" w:cs="Times New Roman"/>
          <w:sz w:val="24"/>
          <w:szCs w:val="24"/>
          <w:lang w:eastAsia="zh-CN"/>
        </w:rPr>
        <w:t xml:space="preserve"> perceptions of our research participants.</w:t>
      </w:r>
      <w:r w:rsidR="001F4C90" w:rsidRPr="00A34545">
        <w:rPr>
          <w:rFonts w:ascii="Times New Roman" w:eastAsiaTheme="minorEastAsia" w:hAnsi="Times New Roman" w:cs="Times New Roman"/>
          <w:sz w:val="24"/>
          <w:szCs w:val="24"/>
          <w:lang w:eastAsia="zh-CN"/>
        </w:rPr>
        <w:t xml:space="preserve"> </w:t>
      </w:r>
    </w:p>
    <w:p w14:paraId="7D8CBA0C" w14:textId="77777777" w:rsidR="007F2C98" w:rsidRPr="00A34545" w:rsidRDefault="007F2C98" w:rsidP="001F4C90">
      <w:pPr>
        <w:pStyle w:val="Default"/>
        <w:contextualSpacing/>
        <w:jc w:val="both"/>
        <w:rPr>
          <w:rFonts w:eastAsia="Calibri"/>
          <w:b/>
          <w:bCs/>
          <w:color w:val="auto"/>
          <w:sz w:val="28"/>
          <w:szCs w:val="28"/>
          <w:lang w:eastAsia="en-GB"/>
        </w:rPr>
      </w:pPr>
    </w:p>
    <w:p w14:paraId="6FE4EEC2" w14:textId="77777777" w:rsidR="001F4C90" w:rsidRPr="00A34545" w:rsidRDefault="001F4C90" w:rsidP="001F4C90">
      <w:pPr>
        <w:pStyle w:val="Default"/>
        <w:contextualSpacing/>
        <w:jc w:val="both"/>
        <w:rPr>
          <w:rFonts w:eastAsia="Calibri"/>
          <w:color w:val="auto"/>
          <w:sz w:val="28"/>
          <w:szCs w:val="28"/>
          <w:lang w:eastAsia="en-GB"/>
        </w:rPr>
      </w:pPr>
      <w:r w:rsidRPr="00A34545">
        <w:rPr>
          <w:rFonts w:eastAsia="Calibri"/>
          <w:b/>
          <w:bCs/>
          <w:color w:val="auto"/>
          <w:sz w:val="28"/>
          <w:szCs w:val="28"/>
          <w:lang w:eastAsia="en-GB"/>
        </w:rPr>
        <w:t>Research Methodology</w:t>
      </w:r>
    </w:p>
    <w:p w14:paraId="665EAE8B" w14:textId="42FAFEF7" w:rsidR="00A004FD" w:rsidRPr="00890DBB" w:rsidRDefault="00A004FD" w:rsidP="00A004FD">
      <w:pPr>
        <w:spacing w:after="0" w:line="240" w:lineRule="auto"/>
        <w:contextualSpacing/>
        <w:jc w:val="both"/>
        <w:rPr>
          <w:rFonts w:ascii="Times New Roman" w:eastAsia="Calibri" w:hAnsi="Times New Roman" w:cs="Times New Roman"/>
          <w:bCs/>
          <w:sz w:val="24"/>
          <w:szCs w:val="24"/>
          <w:lang w:eastAsia="en-GB"/>
        </w:rPr>
      </w:pPr>
      <w:r w:rsidRPr="00890DBB">
        <w:rPr>
          <w:rFonts w:ascii="Times New Roman" w:eastAsia="Calibri" w:hAnsi="Times New Roman" w:cs="Times New Roman"/>
          <w:bCs/>
          <w:sz w:val="24"/>
          <w:szCs w:val="24"/>
          <w:lang w:eastAsia="en-GB"/>
        </w:rPr>
        <w:t>Following this research study’s focus on “brain-</w:t>
      </w:r>
      <w:r w:rsidR="00581309">
        <w:rPr>
          <w:rFonts w:ascii="Times New Roman" w:eastAsia="Calibri" w:hAnsi="Times New Roman" w:cs="Times New Roman"/>
          <w:bCs/>
          <w:sz w:val="24"/>
          <w:szCs w:val="24"/>
          <w:lang w:eastAsia="en-GB"/>
        </w:rPr>
        <w:t>drain</w:t>
      </w:r>
      <w:r w:rsidRPr="00890DBB">
        <w:rPr>
          <w:rFonts w:ascii="Times New Roman" w:eastAsia="Calibri" w:hAnsi="Times New Roman" w:cs="Times New Roman"/>
          <w:bCs/>
          <w:sz w:val="24"/>
          <w:szCs w:val="24"/>
          <w:lang w:eastAsia="en-GB"/>
        </w:rPr>
        <w:t xml:space="preserve">” and the role of training in managing diversity at the workplace, individuals who </w:t>
      </w:r>
      <w:r>
        <w:rPr>
          <w:rFonts w:ascii="Times New Roman" w:eastAsia="Calibri" w:hAnsi="Times New Roman" w:cs="Times New Roman"/>
          <w:bCs/>
          <w:sz w:val="24"/>
          <w:szCs w:val="24"/>
          <w:lang w:eastAsia="en-GB"/>
        </w:rPr>
        <w:t>emigrated from</w:t>
      </w:r>
      <w:r w:rsidRPr="00890DBB">
        <w:rPr>
          <w:rFonts w:ascii="Times New Roman" w:eastAsia="Calibri" w:hAnsi="Times New Roman" w:cs="Times New Roman"/>
          <w:bCs/>
          <w:sz w:val="24"/>
          <w:szCs w:val="24"/>
          <w:lang w:eastAsia="en-GB"/>
        </w:rPr>
        <w:t xml:space="preserve"> Greece</w:t>
      </w:r>
      <w:r>
        <w:rPr>
          <w:rFonts w:ascii="Times New Roman" w:eastAsia="Calibri" w:hAnsi="Times New Roman" w:cs="Times New Roman"/>
          <w:bCs/>
          <w:sz w:val="24"/>
          <w:szCs w:val="24"/>
          <w:lang w:eastAsia="en-GB"/>
        </w:rPr>
        <w:t xml:space="preserve"> and</w:t>
      </w:r>
      <w:r w:rsidRPr="00890DBB">
        <w:rPr>
          <w:rFonts w:ascii="Times New Roman" w:eastAsia="Calibri" w:hAnsi="Times New Roman" w:cs="Times New Roman"/>
          <w:bCs/>
          <w:sz w:val="24"/>
          <w:szCs w:val="24"/>
          <w:lang w:eastAsia="en-GB"/>
        </w:rPr>
        <w:t xml:space="preserve"> Portugal </w:t>
      </w:r>
      <w:r>
        <w:rPr>
          <w:rFonts w:ascii="Times New Roman" w:eastAsia="Calibri" w:hAnsi="Times New Roman" w:cs="Times New Roman"/>
          <w:bCs/>
          <w:sz w:val="24"/>
          <w:szCs w:val="24"/>
          <w:lang w:eastAsia="en-GB"/>
        </w:rPr>
        <w:t xml:space="preserve">to </w:t>
      </w:r>
      <w:r w:rsidRPr="00890DBB">
        <w:rPr>
          <w:rFonts w:ascii="Times New Roman" w:eastAsia="Calibri" w:hAnsi="Times New Roman" w:cs="Times New Roman"/>
          <w:bCs/>
          <w:sz w:val="24"/>
          <w:szCs w:val="24"/>
          <w:lang w:eastAsia="en-GB"/>
        </w:rPr>
        <w:t>Britain</w:t>
      </w:r>
      <w:r>
        <w:rPr>
          <w:rFonts w:ascii="Times New Roman" w:eastAsia="Calibri" w:hAnsi="Times New Roman" w:cs="Times New Roman"/>
          <w:bCs/>
          <w:sz w:val="24"/>
          <w:szCs w:val="24"/>
          <w:lang w:eastAsia="en-GB"/>
        </w:rPr>
        <w:t xml:space="preserve"> (UK)</w:t>
      </w:r>
      <w:r w:rsidRPr="00890DBB">
        <w:rPr>
          <w:rFonts w:ascii="Times New Roman" w:eastAsia="Calibri" w:hAnsi="Times New Roman" w:cs="Times New Roman"/>
          <w:bCs/>
          <w:sz w:val="24"/>
          <w:szCs w:val="24"/>
          <w:lang w:eastAsia="en-GB"/>
        </w:rPr>
        <w:t xml:space="preserve"> to search for career opportunities were ide</w:t>
      </w:r>
      <w:r>
        <w:rPr>
          <w:rFonts w:ascii="Times New Roman" w:eastAsia="Calibri" w:hAnsi="Times New Roman" w:cs="Times New Roman"/>
          <w:bCs/>
          <w:sz w:val="24"/>
          <w:szCs w:val="24"/>
          <w:lang w:eastAsia="en-GB"/>
        </w:rPr>
        <w:t xml:space="preserve">ntified as our target audience. </w:t>
      </w:r>
      <w:r w:rsidRPr="00890DBB">
        <w:rPr>
          <w:rFonts w:ascii="Times New Roman" w:eastAsia="Calibri" w:hAnsi="Times New Roman" w:cs="Times New Roman"/>
          <w:bCs/>
          <w:sz w:val="24"/>
          <w:szCs w:val="24"/>
          <w:lang w:eastAsia="en-GB"/>
        </w:rPr>
        <w:t>As it was difficult to directly (face-to-face) approach all of them, as many were scattered across Europe (some even beyond European boarders), various web-based social and professional networks appeared as the best solution in accessing our research participants. For instance, Facebook offered access to various Greek</w:t>
      </w:r>
      <w:r>
        <w:rPr>
          <w:rFonts w:ascii="Times New Roman" w:eastAsia="Calibri" w:hAnsi="Times New Roman" w:cs="Times New Roman"/>
          <w:bCs/>
          <w:sz w:val="24"/>
          <w:szCs w:val="24"/>
          <w:lang w:eastAsia="en-GB"/>
        </w:rPr>
        <w:t xml:space="preserve"> and </w:t>
      </w:r>
      <w:r w:rsidRPr="00890DBB">
        <w:rPr>
          <w:rFonts w:ascii="Times New Roman" w:eastAsia="Calibri" w:hAnsi="Times New Roman" w:cs="Times New Roman"/>
          <w:bCs/>
          <w:sz w:val="24"/>
          <w:szCs w:val="24"/>
          <w:lang w:eastAsia="en-GB"/>
        </w:rPr>
        <w:t>Portuguese community groups. Additionally, several professional sub-groups within Linkedin allowed the researchers to approach additional research participants. A survey questionnaire was distributed focusing on identifying demographic information and other statistics (e.g. age, sex, recipient country, educational level and work occupation etc.), along with highlighting the factors that made those individuals to emigrate, their intention to return back home, what will make them return and their perceptions of how training may facilitate their social integration at their new workplace in the host country and organisation.</w:t>
      </w:r>
    </w:p>
    <w:p w14:paraId="595AEE39" w14:textId="77777777" w:rsidR="00A004FD" w:rsidRPr="00890DBB" w:rsidRDefault="00A004FD" w:rsidP="00A004FD">
      <w:pPr>
        <w:spacing w:after="0" w:line="240" w:lineRule="auto"/>
        <w:contextualSpacing/>
        <w:jc w:val="both"/>
        <w:rPr>
          <w:rFonts w:ascii="Times New Roman" w:eastAsia="Calibri" w:hAnsi="Times New Roman" w:cs="Times New Roman"/>
          <w:bCs/>
          <w:sz w:val="24"/>
          <w:szCs w:val="24"/>
          <w:lang w:eastAsia="en-GB"/>
        </w:rPr>
      </w:pPr>
    </w:p>
    <w:p w14:paraId="175D49AB" w14:textId="0E6F0984" w:rsidR="004D76BA" w:rsidRDefault="00A004FD" w:rsidP="00A004FD">
      <w:pPr>
        <w:spacing w:after="0" w:line="240" w:lineRule="auto"/>
        <w:contextualSpacing/>
        <w:jc w:val="both"/>
        <w:rPr>
          <w:rFonts w:ascii="Times New Roman" w:eastAsia="Calibri" w:hAnsi="Times New Roman" w:cs="Times New Roman"/>
          <w:bCs/>
          <w:sz w:val="24"/>
          <w:szCs w:val="24"/>
          <w:lang w:eastAsia="en-GB"/>
        </w:rPr>
      </w:pPr>
      <w:r w:rsidRPr="00890DBB">
        <w:rPr>
          <w:rFonts w:ascii="Times New Roman" w:eastAsia="Calibri" w:hAnsi="Times New Roman" w:cs="Times New Roman"/>
          <w:bCs/>
          <w:sz w:val="24"/>
          <w:szCs w:val="24"/>
          <w:lang w:eastAsia="en-GB"/>
        </w:rPr>
        <w:t xml:space="preserve">The snowball technique was also utilised (recommendations from existing participants). Such </w:t>
      </w:r>
      <w:r w:rsidRPr="00890DBB">
        <w:rPr>
          <w:rStyle w:val="l7"/>
          <w:rFonts w:ascii="Times New Roman" w:hAnsi="Times New Roman" w:cs="Times New Roman"/>
          <w:sz w:val="24"/>
          <w:szCs w:val="24"/>
        </w:rPr>
        <w:t xml:space="preserve">technique assures that all participants share those characteristics being required from the research (e.g. individuals who migrated abroad), along with possessing the desired knowledge to address the survey questions. Eventually, that helped the researchers to increase their participants’ pool, and thus to enhance their research’s outcomes through their respective insights. </w:t>
      </w:r>
      <w:r w:rsidRPr="00890DBB">
        <w:rPr>
          <w:rFonts w:ascii="Times New Roman" w:eastAsia="Calibri" w:hAnsi="Times New Roman" w:cs="Times New Roman"/>
          <w:bCs/>
          <w:sz w:val="24"/>
          <w:szCs w:val="24"/>
          <w:lang w:eastAsia="en-GB"/>
        </w:rPr>
        <w:t xml:space="preserve">Yet, only </w:t>
      </w:r>
      <w:r w:rsidR="00991096">
        <w:rPr>
          <w:rFonts w:ascii="Times New Roman" w:eastAsia="Calibri" w:hAnsi="Times New Roman" w:cs="Times New Roman"/>
          <w:bCs/>
          <w:sz w:val="24"/>
          <w:szCs w:val="24"/>
          <w:lang w:eastAsia="en-GB"/>
        </w:rPr>
        <w:t>56</w:t>
      </w:r>
      <w:r w:rsidRPr="00890DBB">
        <w:rPr>
          <w:rFonts w:ascii="Times New Roman" w:eastAsia="Calibri" w:hAnsi="Times New Roman" w:cs="Times New Roman"/>
          <w:bCs/>
          <w:sz w:val="24"/>
          <w:szCs w:val="24"/>
          <w:lang w:eastAsia="en-GB"/>
        </w:rPr>
        <w:t xml:space="preserve"> individuals have successfully completed the survey questionnaire so far, and thus for the researchers to look for alternative ways to increase the participation rates.</w:t>
      </w:r>
    </w:p>
    <w:p w14:paraId="64414E30" w14:textId="56E04FB5" w:rsidR="00C0017A" w:rsidRDefault="00C0017A" w:rsidP="00A851F6">
      <w:pPr>
        <w:jc w:val="both"/>
        <w:rPr>
          <w:rFonts w:ascii="Times New Roman" w:eastAsia="Calibri" w:hAnsi="Times New Roman" w:cs="Times New Roman"/>
          <w:bCs/>
          <w:sz w:val="24"/>
          <w:szCs w:val="24"/>
          <w:lang w:eastAsia="en-GB"/>
        </w:rPr>
      </w:pPr>
    </w:p>
    <w:p w14:paraId="7F09C8E0" w14:textId="77777777" w:rsidR="0015335E" w:rsidRDefault="0015335E" w:rsidP="0015335E">
      <w:pPr>
        <w:pStyle w:val="Default"/>
        <w:contextualSpacing/>
        <w:jc w:val="both"/>
        <w:rPr>
          <w:rFonts w:eastAsia="Calibri"/>
          <w:b/>
          <w:bCs/>
          <w:sz w:val="28"/>
          <w:szCs w:val="28"/>
          <w:lang w:eastAsia="en-GB"/>
        </w:rPr>
      </w:pPr>
      <w:r>
        <w:rPr>
          <w:rFonts w:eastAsia="Calibri"/>
          <w:b/>
          <w:bCs/>
          <w:sz w:val="28"/>
          <w:szCs w:val="28"/>
          <w:lang w:eastAsia="en-GB"/>
        </w:rPr>
        <w:t>Discussion and conclusion</w:t>
      </w:r>
    </w:p>
    <w:p w14:paraId="4EA59D7D" w14:textId="77777777" w:rsidR="00307B04" w:rsidRDefault="0015335E" w:rsidP="0015335E">
      <w:pPr>
        <w:pStyle w:val="Default"/>
        <w:contextualSpacing/>
        <w:jc w:val="both"/>
        <w:rPr>
          <w:rFonts w:eastAsia="Calibri"/>
          <w:lang w:eastAsia="en-GB"/>
        </w:rPr>
      </w:pPr>
      <w:r>
        <w:rPr>
          <w:rFonts w:eastAsia="Calibri"/>
          <w:szCs w:val="28"/>
          <w:lang w:eastAsia="en-GB"/>
        </w:rPr>
        <w:t>The research project in which this study is embedded has proposed three main research objectives: (i) e</w:t>
      </w:r>
      <w:r>
        <w:t>xamine</w:t>
      </w:r>
      <w:r w:rsidRPr="000E258A">
        <w:t xml:space="preserve"> the extent to which diversity training is being used in workplaces in the UK to better integrate migrant workers</w:t>
      </w:r>
      <w:r>
        <w:t>; (ii)</w:t>
      </w:r>
      <w:r>
        <w:rPr>
          <w:rFonts w:eastAsia="Calibri"/>
          <w:szCs w:val="28"/>
          <w:lang w:eastAsia="en-GB"/>
        </w:rPr>
        <w:t xml:space="preserve"> </w:t>
      </w:r>
      <w:r>
        <w:t>assess</w:t>
      </w:r>
      <w:r w:rsidRPr="000E258A">
        <w:t xml:space="preserve"> the perceived challenges and benefits that diversity training may produce for individuals</w:t>
      </w:r>
      <w:r w:rsidRPr="000E258A">
        <w:rPr>
          <w:rFonts w:eastAsia="Calibri"/>
          <w:lang w:eastAsia="en-GB"/>
        </w:rPr>
        <w:t xml:space="preserve"> in an era of economic and social uncertainty and insecurity</w:t>
      </w:r>
      <w:r>
        <w:rPr>
          <w:rFonts w:eastAsia="Calibri"/>
          <w:szCs w:val="28"/>
          <w:lang w:eastAsia="en-GB"/>
        </w:rPr>
        <w:t xml:space="preserve">; (iii) and examining the extent to which </w:t>
      </w:r>
      <w:r w:rsidRPr="000E258A">
        <w:t>diversity training could facilitate their social integration at the workplace</w:t>
      </w:r>
      <w:r>
        <w:t>.</w:t>
      </w:r>
      <w:r>
        <w:rPr>
          <w:rFonts w:eastAsia="Calibri"/>
          <w:szCs w:val="28"/>
          <w:lang w:eastAsia="en-GB"/>
        </w:rPr>
        <w:t xml:space="preserve"> These have been partly addressed in the current study, whereas </w:t>
      </w:r>
      <w:r w:rsidRPr="00E80A0C">
        <w:rPr>
          <w:rFonts w:eastAsia="Calibri"/>
          <w:lang w:eastAsia="en-GB"/>
        </w:rPr>
        <w:t xml:space="preserve">others are yet to be addressed and finalised in future studies. </w:t>
      </w:r>
    </w:p>
    <w:p w14:paraId="4D2EB3F7" w14:textId="77777777" w:rsidR="00307B04" w:rsidRDefault="00307B04" w:rsidP="0015335E">
      <w:pPr>
        <w:pStyle w:val="Default"/>
        <w:contextualSpacing/>
        <w:jc w:val="both"/>
        <w:rPr>
          <w:rFonts w:eastAsia="Calibri"/>
          <w:lang w:eastAsia="en-GB"/>
        </w:rPr>
      </w:pPr>
    </w:p>
    <w:p w14:paraId="1B64F171" w14:textId="23B2A514" w:rsidR="004623DB" w:rsidRDefault="004623DB" w:rsidP="0015335E">
      <w:pPr>
        <w:pStyle w:val="Default"/>
        <w:contextualSpacing/>
        <w:jc w:val="both"/>
        <w:rPr>
          <w:rFonts w:eastAsia="Calibri"/>
          <w:lang w:eastAsia="en-GB"/>
        </w:rPr>
      </w:pPr>
      <w:r>
        <w:rPr>
          <w:rFonts w:eastAsia="Calibri"/>
          <w:lang w:eastAsia="en-GB"/>
        </w:rPr>
        <w:t xml:space="preserve">The study </w:t>
      </w:r>
      <w:r w:rsidR="00A251B8">
        <w:rPr>
          <w:rFonts w:eastAsia="Calibri"/>
          <w:lang w:eastAsia="en-GB"/>
        </w:rPr>
        <w:t xml:space="preserve">identifies the large majority of our </w:t>
      </w:r>
      <w:r>
        <w:rPr>
          <w:rFonts w:eastAsia="Calibri"/>
          <w:lang w:eastAsia="en-GB"/>
        </w:rPr>
        <w:t xml:space="preserve">participants as </w:t>
      </w:r>
      <w:r w:rsidR="00A251B8">
        <w:rPr>
          <w:rFonts w:eastAsia="Calibri"/>
          <w:lang w:eastAsia="en-GB"/>
        </w:rPr>
        <w:t xml:space="preserve">constituting </w:t>
      </w:r>
      <w:r>
        <w:rPr>
          <w:rFonts w:eastAsia="Calibri"/>
          <w:lang w:eastAsia="en-GB"/>
        </w:rPr>
        <w:t>“Generation Y”</w:t>
      </w:r>
      <w:r w:rsidR="00A251B8">
        <w:rPr>
          <w:rFonts w:eastAsia="Calibri"/>
          <w:lang w:eastAsia="en-GB"/>
        </w:rPr>
        <w:t xml:space="preserve">, </w:t>
      </w:r>
      <w:r>
        <w:rPr>
          <w:rFonts w:eastAsia="Calibri"/>
          <w:lang w:eastAsia="en-GB"/>
        </w:rPr>
        <w:t xml:space="preserve">based upon their demographics and profile characteristics (fig.1). </w:t>
      </w:r>
    </w:p>
    <w:p w14:paraId="725D9E0F" w14:textId="0C859D90" w:rsidR="00401591" w:rsidRDefault="00401591" w:rsidP="0015335E">
      <w:pPr>
        <w:pStyle w:val="Default"/>
        <w:contextualSpacing/>
        <w:jc w:val="both"/>
        <w:rPr>
          <w:rFonts w:eastAsia="Calibri"/>
          <w:lang w:eastAsia="en-GB"/>
        </w:rPr>
      </w:pPr>
    </w:p>
    <w:p w14:paraId="7CFA5761" w14:textId="2AF71BAD" w:rsidR="00401591" w:rsidRDefault="00401591" w:rsidP="0015335E">
      <w:pPr>
        <w:pStyle w:val="Default"/>
        <w:contextualSpacing/>
        <w:jc w:val="both"/>
        <w:rPr>
          <w:rFonts w:eastAsia="Calibri"/>
          <w:lang w:eastAsia="en-GB"/>
        </w:rPr>
      </w:pPr>
    </w:p>
    <w:p w14:paraId="64ED8400" w14:textId="06EDF122" w:rsidR="00401591" w:rsidRDefault="00401591" w:rsidP="0015335E">
      <w:pPr>
        <w:pStyle w:val="Default"/>
        <w:contextualSpacing/>
        <w:jc w:val="both"/>
        <w:rPr>
          <w:rFonts w:eastAsia="Calibri"/>
          <w:lang w:eastAsia="en-GB"/>
        </w:rPr>
      </w:pPr>
    </w:p>
    <w:p w14:paraId="714865DD" w14:textId="0178B830" w:rsidR="00401591" w:rsidRDefault="00401591" w:rsidP="0015335E">
      <w:pPr>
        <w:pStyle w:val="Default"/>
        <w:contextualSpacing/>
        <w:jc w:val="both"/>
        <w:rPr>
          <w:rFonts w:eastAsia="Calibri"/>
          <w:lang w:eastAsia="en-GB"/>
        </w:rPr>
      </w:pPr>
    </w:p>
    <w:p w14:paraId="0F3EC84E" w14:textId="76971B05" w:rsidR="00401591" w:rsidRDefault="00401591" w:rsidP="0015335E">
      <w:pPr>
        <w:pStyle w:val="Default"/>
        <w:contextualSpacing/>
        <w:jc w:val="both"/>
        <w:rPr>
          <w:rFonts w:eastAsia="Calibri"/>
          <w:lang w:eastAsia="en-GB"/>
        </w:rPr>
      </w:pPr>
    </w:p>
    <w:p w14:paraId="1DF48D7C" w14:textId="49E49740" w:rsidR="00401591" w:rsidRDefault="00401591" w:rsidP="0015335E">
      <w:pPr>
        <w:pStyle w:val="Default"/>
        <w:contextualSpacing/>
        <w:jc w:val="both"/>
        <w:rPr>
          <w:rFonts w:eastAsia="Calibri"/>
          <w:lang w:eastAsia="en-GB"/>
        </w:rPr>
      </w:pPr>
    </w:p>
    <w:p w14:paraId="618B5DD8" w14:textId="3A9C2161" w:rsidR="00401591" w:rsidRDefault="00401591" w:rsidP="0015335E">
      <w:pPr>
        <w:pStyle w:val="Default"/>
        <w:contextualSpacing/>
        <w:jc w:val="both"/>
        <w:rPr>
          <w:rFonts w:eastAsia="Calibri"/>
          <w:lang w:eastAsia="en-GB"/>
        </w:rPr>
      </w:pPr>
    </w:p>
    <w:p w14:paraId="12B94E06" w14:textId="69F2F01A" w:rsidR="00401591" w:rsidRDefault="00401591" w:rsidP="0015335E">
      <w:pPr>
        <w:pStyle w:val="Default"/>
        <w:contextualSpacing/>
        <w:jc w:val="both"/>
        <w:rPr>
          <w:rFonts w:eastAsia="Calibri"/>
          <w:lang w:eastAsia="en-GB"/>
        </w:rPr>
      </w:pPr>
    </w:p>
    <w:p w14:paraId="27F210EE" w14:textId="0C803B21" w:rsidR="00401591" w:rsidRDefault="00401591" w:rsidP="0015335E">
      <w:pPr>
        <w:pStyle w:val="Default"/>
        <w:contextualSpacing/>
        <w:jc w:val="both"/>
        <w:rPr>
          <w:rFonts w:eastAsia="Calibri"/>
          <w:lang w:eastAsia="en-GB"/>
        </w:rPr>
      </w:pPr>
    </w:p>
    <w:p w14:paraId="2E690B19" w14:textId="0EDB9B12" w:rsidR="00401591" w:rsidRDefault="00401591" w:rsidP="0015335E">
      <w:pPr>
        <w:pStyle w:val="Default"/>
        <w:contextualSpacing/>
        <w:jc w:val="both"/>
        <w:rPr>
          <w:rFonts w:eastAsia="Calibri"/>
          <w:lang w:eastAsia="en-GB"/>
        </w:rPr>
      </w:pPr>
    </w:p>
    <w:p w14:paraId="2C097095" w14:textId="66A4ACAF" w:rsidR="00401591" w:rsidRDefault="00401591" w:rsidP="00401591">
      <w:pPr>
        <w:pStyle w:val="Default"/>
        <w:rPr>
          <w:rFonts w:asciiTheme="minorBidi" w:hAnsiTheme="minorBidi" w:cstheme="minorBidi"/>
          <w:i/>
          <w:iCs/>
          <w:u w:val="single"/>
        </w:rPr>
      </w:pPr>
      <w:r w:rsidRPr="004A6236">
        <w:rPr>
          <w:rFonts w:asciiTheme="minorBidi" w:hAnsiTheme="minorBidi" w:cstheme="minorBidi"/>
          <w:i/>
          <w:iCs/>
          <w:u w:val="single"/>
        </w:rPr>
        <w:lastRenderedPageBreak/>
        <w:t xml:space="preserve">Figure 1: </w:t>
      </w:r>
      <w:r>
        <w:rPr>
          <w:rFonts w:asciiTheme="minorBidi" w:hAnsiTheme="minorBidi" w:cstheme="minorBidi"/>
          <w:i/>
          <w:iCs/>
          <w:u w:val="single"/>
        </w:rPr>
        <w:t>Participants</w:t>
      </w:r>
      <w:r w:rsidRPr="004A6236">
        <w:rPr>
          <w:rFonts w:asciiTheme="minorBidi" w:hAnsiTheme="minorBidi" w:cstheme="minorBidi"/>
          <w:i/>
          <w:iCs/>
          <w:u w:val="single"/>
        </w:rPr>
        <w:t xml:space="preserve"> demographics</w:t>
      </w:r>
    </w:p>
    <w:p w14:paraId="28E57947" w14:textId="7910BAA0" w:rsidR="00401591" w:rsidRDefault="00401591" w:rsidP="00401591">
      <w:pPr>
        <w:pStyle w:val="Default"/>
        <w:rPr>
          <w:rFonts w:asciiTheme="minorBidi" w:hAnsiTheme="minorBidi" w:cstheme="minorBidi"/>
          <w:iCs/>
          <w:u w:val="single"/>
        </w:rPr>
      </w:pPr>
      <w:r>
        <w:rPr>
          <w:noProof/>
          <w:lang w:eastAsia="en-GB"/>
        </w:rPr>
        <w:drawing>
          <wp:inline distT="0" distB="0" distL="0" distR="0" wp14:anchorId="12AD5244" wp14:editId="379AA2B9">
            <wp:extent cx="2438400" cy="244792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heme="minorBidi" w:hAnsiTheme="minorBidi" w:cstheme="minorBidi"/>
          <w:iCs/>
          <w:u w:val="single"/>
        </w:rPr>
        <w:t xml:space="preserve">  </w:t>
      </w:r>
      <w:r>
        <w:rPr>
          <w:noProof/>
          <w:lang w:eastAsia="en-GB"/>
        </w:rPr>
        <w:drawing>
          <wp:inline distT="0" distB="0" distL="0" distR="0" wp14:anchorId="4B2004B8" wp14:editId="396196F9">
            <wp:extent cx="3152775" cy="24574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D49313" w14:textId="1FA8B2B1" w:rsidR="00401591" w:rsidRDefault="00401591" w:rsidP="00401591">
      <w:pPr>
        <w:pStyle w:val="Default"/>
        <w:rPr>
          <w:rFonts w:asciiTheme="minorBidi" w:hAnsiTheme="minorBidi" w:cstheme="minorBidi"/>
          <w:iCs/>
          <w:u w:val="single"/>
        </w:rPr>
      </w:pPr>
    </w:p>
    <w:p w14:paraId="25DBEBDF" w14:textId="1F57C438" w:rsidR="00401591" w:rsidRDefault="00A251B8" w:rsidP="008B7C01">
      <w:pPr>
        <w:pStyle w:val="Default"/>
        <w:jc w:val="both"/>
        <w:rPr>
          <w:rFonts w:asciiTheme="minorBidi" w:hAnsiTheme="minorBidi" w:cstheme="minorBidi"/>
          <w:iCs/>
        </w:rPr>
      </w:pPr>
      <w:r w:rsidRPr="00A251B8">
        <w:rPr>
          <w:rFonts w:asciiTheme="minorBidi" w:hAnsiTheme="minorBidi" w:cstheme="minorBidi"/>
          <w:iCs/>
        </w:rPr>
        <w:t>That could offe</w:t>
      </w:r>
      <w:r>
        <w:rPr>
          <w:rFonts w:asciiTheme="minorBidi" w:hAnsiTheme="minorBidi" w:cstheme="minorBidi"/>
          <w:iCs/>
        </w:rPr>
        <w:t xml:space="preserve">r a clear indication that the youngest and brightest brains have emigrated from Greece and Portugal. All research participants outlined that they have chosen to emigrate so as to look for better career opportunities abroad. To them, moving to UK seemed </w:t>
      </w:r>
      <w:r w:rsidR="008B7C01">
        <w:rPr>
          <w:rFonts w:asciiTheme="minorBidi" w:hAnsiTheme="minorBidi" w:cstheme="minorBidi"/>
          <w:iCs/>
        </w:rPr>
        <w:t>the best solution. As to that, much of them chose UK over other European countries to start a new career and a new life respectively (fig.2)</w:t>
      </w:r>
    </w:p>
    <w:p w14:paraId="050F648D" w14:textId="3A911E49" w:rsidR="008B7C01" w:rsidRDefault="008B7C01" w:rsidP="008B7C01">
      <w:pPr>
        <w:pStyle w:val="Default"/>
        <w:jc w:val="both"/>
        <w:rPr>
          <w:rFonts w:asciiTheme="minorBidi" w:hAnsiTheme="minorBidi" w:cstheme="minorBidi"/>
          <w:iCs/>
        </w:rPr>
      </w:pPr>
    </w:p>
    <w:p w14:paraId="2B5886B2" w14:textId="7CAFE769" w:rsidR="008B7C01" w:rsidRDefault="008B7C01" w:rsidP="008B7C01">
      <w:pPr>
        <w:pStyle w:val="Default"/>
        <w:rPr>
          <w:rFonts w:asciiTheme="minorBidi" w:hAnsiTheme="minorBidi" w:cstheme="minorBidi"/>
          <w:i/>
          <w:iCs/>
          <w:u w:val="single"/>
        </w:rPr>
      </w:pPr>
      <w:r w:rsidRPr="004A6236">
        <w:rPr>
          <w:rFonts w:asciiTheme="minorBidi" w:hAnsiTheme="minorBidi" w:cstheme="minorBidi"/>
          <w:i/>
          <w:iCs/>
          <w:u w:val="single"/>
        </w:rPr>
        <w:t xml:space="preserve">Figure </w:t>
      </w:r>
      <w:r w:rsidR="00B5236D">
        <w:rPr>
          <w:rFonts w:asciiTheme="minorBidi" w:hAnsiTheme="minorBidi" w:cstheme="minorBidi"/>
          <w:i/>
          <w:iCs/>
          <w:u w:val="single"/>
        </w:rPr>
        <w:t>2</w:t>
      </w:r>
      <w:r w:rsidRPr="004A6236">
        <w:rPr>
          <w:rFonts w:asciiTheme="minorBidi" w:hAnsiTheme="minorBidi" w:cstheme="minorBidi"/>
          <w:i/>
          <w:iCs/>
          <w:u w:val="single"/>
        </w:rPr>
        <w:t xml:space="preserve">: </w:t>
      </w:r>
      <w:r>
        <w:rPr>
          <w:rFonts w:asciiTheme="minorBidi" w:hAnsiTheme="minorBidi" w:cstheme="minorBidi"/>
          <w:i/>
          <w:iCs/>
          <w:u w:val="single"/>
        </w:rPr>
        <w:t>Participants</w:t>
      </w:r>
      <w:r w:rsidRPr="004A6236">
        <w:rPr>
          <w:rFonts w:asciiTheme="minorBidi" w:hAnsiTheme="minorBidi" w:cstheme="minorBidi"/>
          <w:i/>
          <w:iCs/>
          <w:u w:val="single"/>
        </w:rPr>
        <w:t xml:space="preserve"> </w:t>
      </w:r>
      <w:r w:rsidR="00B5236D">
        <w:rPr>
          <w:rFonts w:asciiTheme="minorBidi" w:hAnsiTheme="minorBidi" w:cstheme="minorBidi"/>
          <w:i/>
          <w:iCs/>
          <w:u w:val="single"/>
        </w:rPr>
        <w:t>choice of host country</w:t>
      </w:r>
    </w:p>
    <w:p w14:paraId="6C439EAC" w14:textId="2241DD02" w:rsidR="008B7C01" w:rsidRDefault="008B7C01" w:rsidP="008B7C01">
      <w:pPr>
        <w:pStyle w:val="Default"/>
        <w:jc w:val="both"/>
        <w:rPr>
          <w:rFonts w:asciiTheme="minorBidi" w:hAnsiTheme="minorBidi" w:cstheme="minorBidi"/>
          <w:iCs/>
        </w:rPr>
      </w:pPr>
      <w:r>
        <w:rPr>
          <w:noProof/>
          <w:lang w:eastAsia="en-GB"/>
        </w:rPr>
        <w:drawing>
          <wp:inline distT="0" distB="0" distL="0" distR="0" wp14:anchorId="0613CEAD" wp14:editId="25BBA317">
            <wp:extent cx="3829050" cy="26098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3C85963" w14:textId="5481B5DA" w:rsidR="008B7C01" w:rsidRDefault="008B7C01" w:rsidP="008B7C01">
      <w:pPr>
        <w:pStyle w:val="Default"/>
        <w:jc w:val="both"/>
        <w:rPr>
          <w:rFonts w:asciiTheme="minorBidi" w:hAnsiTheme="minorBidi" w:cstheme="minorBidi"/>
          <w:iCs/>
        </w:rPr>
      </w:pPr>
    </w:p>
    <w:p w14:paraId="7CE19C15" w14:textId="77777777" w:rsidR="00715CA3" w:rsidRDefault="00715CA3" w:rsidP="008B7C01">
      <w:pPr>
        <w:pStyle w:val="Default"/>
        <w:jc w:val="both"/>
        <w:rPr>
          <w:rFonts w:asciiTheme="minorBidi" w:hAnsiTheme="minorBidi" w:cstheme="minorBidi"/>
          <w:iCs/>
        </w:rPr>
      </w:pPr>
    </w:p>
    <w:p w14:paraId="0F2A5DF1" w14:textId="0690D254" w:rsidR="008B7C01" w:rsidRDefault="00E30125" w:rsidP="008B7C01">
      <w:pPr>
        <w:pStyle w:val="Default"/>
        <w:jc w:val="both"/>
        <w:rPr>
          <w:rFonts w:asciiTheme="minorBidi" w:hAnsiTheme="minorBidi" w:cstheme="minorBidi"/>
        </w:rPr>
      </w:pPr>
      <w:r>
        <w:rPr>
          <w:rFonts w:asciiTheme="minorBidi" w:hAnsiTheme="minorBidi" w:cstheme="minorBidi"/>
          <w:iCs/>
        </w:rPr>
        <w:t xml:space="preserve">The large majority of the participants aged between 20-35 years old suggested that </w:t>
      </w:r>
      <w:r>
        <w:rPr>
          <w:rFonts w:asciiTheme="minorBidi" w:hAnsiTheme="minorBidi" w:cstheme="minorBidi"/>
        </w:rPr>
        <w:t>they used to work before leaving Greece and Portugal, yet they thought their life and work prospects could be improved elsewhere. Further to that, much of them decided to move abroad as either because they have been made redundant due to the economic crisis or in order to secure a better future for their family (mostly referring to their children – providing them the opportunity to study and look for work in a more stable economy).</w:t>
      </w:r>
      <w:r w:rsidR="00653747">
        <w:rPr>
          <w:rFonts w:asciiTheme="minorBidi" w:hAnsiTheme="minorBidi" w:cstheme="minorBidi"/>
        </w:rPr>
        <w:t xml:space="preserve"> </w:t>
      </w:r>
    </w:p>
    <w:p w14:paraId="4933058E" w14:textId="45690010" w:rsidR="00653747" w:rsidRDefault="00653747" w:rsidP="008B7C01">
      <w:pPr>
        <w:pStyle w:val="Default"/>
        <w:jc w:val="both"/>
        <w:rPr>
          <w:rFonts w:asciiTheme="minorBidi" w:hAnsiTheme="minorBidi" w:cstheme="minorBidi"/>
        </w:rPr>
      </w:pPr>
    </w:p>
    <w:p w14:paraId="683439BB" w14:textId="63B774E7" w:rsidR="00653747" w:rsidRPr="00A251B8" w:rsidRDefault="00653747" w:rsidP="008B7C01">
      <w:pPr>
        <w:pStyle w:val="Default"/>
        <w:jc w:val="both"/>
        <w:rPr>
          <w:rFonts w:asciiTheme="minorBidi" w:hAnsiTheme="minorBidi" w:cstheme="minorBidi"/>
          <w:iCs/>
        </w:rPr>
      </w:pPr>
      <w:r>
        <w:rPr>
          <w:rFonts w:asciiTheme="minorBidi" w:hAnsiTheme="minorBidi" w:cstheme="minorBidi"/>
        </w:rPr>
        <w:t xml:space="preserve">It is not a surprise that most participants’ educational level was quite high as well, with much of them holding a master’s degree, </w:t>
      </w:r>
      <w:r w:rsidR="00B5236D">
        <w:rPr>
          <w:rFonts w:asciiTheme="minorBidi" w:hAnsiTheme="minorBidi" w:cstheme="minorBidi"/>
        </w:rPr>
        <w:t>followed by those with a PhD, a bachelor etc.</w:t>
      </w:r>
      <w:r w:rsidR="00202E3A">
        <w:rPr>
          <w:rFonts w:asciiTheme="minorBidi" w:hAnsiTheme="minorBidi" w:cstheme="minorBidi"/>
        </w:rPr>
        <w:t xml:space="preserve">, further supporting our previous point that the brightest brains are leaving both countries (fig.3). </w:t>
      </w:r>
    </w:p>
    <w:p w14:paraId="1BB6F8A9" w14:textId="14C2A789" w:rsidR="00B5236D" w:rsidRDefault="00B5236D" w:rsidP="00B5236D">
      <w:pPr>
        <w:pStyle w:val="Default"/>
        <w:rPr>
          <w:rFonts w:asciiTheme="minorBidi" w:hAnsiTheme="minorBidi" w:cstheme="minorBidi"/>
          <w:i/>
          <w:iCs/>
          <w:u w:val="single"/>
        </w:rPr>
      </w:pPr>
      <w:r w:rsidRPr="004A6236">
        <w:rPr>
          <w:rFonts w:asciiTheme="minorBidi" w:hAnsiTheme="minorBidi" w:cstheme="minorBidi"/>
          <w:i/>
          <w:iCs/>
          <w:u w:val="single"/>
        </w:rPr>
        <w:lastRenderedPageBreak/>
        <w:t xml:space="preserve">Figure </w:t>
      </w:r>
      <w:r>
        <w:rPr>
          <w:rFonts w:asciiTheme="minorBidi" w:hAnsiTheme="minorBidi" w:cstheme="minorBidi"/>
          <w:i/>
          <w:iCs/>
          <w:u w:val="single"/>
        </w:rPr>
        <w:t>3</w:t>
      </w:r>
      <w:r w:rsidRPr="004A6236">
        <w:rPr>
          <w:rFonts w:asciiTheme="minorBidi" w:hAnsiTheme="minorBidi" w:cstheme="minorBidi"/>
          <w:i/>
          <w:iCs/>
          <w:u w:val="single"/>
        </w:rPr>
        <w:t xml:space="preserve">: </w:t>
      </w:r>
      <w:r>
        <w:rPr>
          <w:rFonts w:asciiTheme="minorBidi" w:hAnsiTheme="minorBidi" w:cstheme="minorBidi"/>
          <w:i/>
          <w:iCs/>
          <w:u w:val="single"/>
        </w:rPr>
        <w:t>Participants</w:t>
      </w:r>
      <w:r w:rsidRPr="004A6236">
        <w:rPr>
          <w:rFonts w:asciiTheme="minorBidi" w:hAnsiTheme="minorBidi" w:cstheme="minorBidi"/>
          <w:i/>
          <w:iCs/>
          <w:u w:val="single"/>
        </w:rPr>
        <w:t xml:space="preserve"> </w:t>
      </w:r>
      <w:r>
        <w:rPr>
          <w:rFonts w:asciiTheme="minorBidi" w:hAnsiTheme="minorBidi" w:cstheme="minorBidi"/>
          <w:i/>
          <w:iCs/>
          <w:u w:val="single"/>
        </w:rPr>
        <w:t>educational level</w:t>
      </w:r>
    </w:p>
    <w:p w14:paraId="19D8C4FA" w14:textId="2811C234" w:rsidR="00401591" w:rsidRDefault="00653747" w:rsidP="0015335E">
      <w:pPr>
        <w:pStyle w:val="Default"/>
        <w:contextualSpacing/>
        <w:jc w:val="both"/>
        <w:rPr>
          <w:rFonts w:eastAsia="Calibri"/>
          <w:lang w:eastAsia="en-GB"/>
        </w:rPr>
      </w:pPr>
      <w:r>
        <w:rPr>
          <w:noProof/>
          <w:lang w:eastAsia="en-GB"/>
        </w:rPr>
        <w:drawing>
          <wp:inline distT="0" distB="0" distL="0" distR="0" wp14:anchorId="4C540195" wp14:editId="3BB73CD9">
            <wp:extent cx="3676650" cy="263842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BC26231" w14:textId="7E3411CF" w:rsidR="004623DB" w:rsidRDefault="004623DB" w:rsidP="0015335E">
      <w:pPr>
        <w:pStyle w:val="Default"/>
        <w:contextualSpacing/>
        <w:jc w:val="both"/>
        <w:rPr>
          <w:rFonts w:eastAsia="Calibri"/>
          <w:lang w:eastAsia="en-GB"/>
        </w:rPr>
      </w:pPr>
    </w:p>
    <w:p w14:paraId="3452865E" w14:textId="57A8E2E7" w:rsidR="004623DB" w:rsidRDefault="0017705C" w:rsidP="0015335E">
      <w:pPr>
        <w:pStyle w:val="Default"/>
        <w:contextualSpacing/>
        <w:jc w:val="both"/>
        <w:rPr>
          <w:rFonts w:eastAsia="Calibri"/>
          <w:lang w:eastAsia="en-GB"/>
        </w:rPr>
      </w:pPr>
      <w:r>
        <w:rPr>
          <w:rFonts w:eastAsia="Calibri"/>
          <w:lang w:eastAsia="en-GB"/>
        </w:rPr>
        <w:t xml:space="preserve">Having being asked to indicate the push factors of their decision to emigrate, their responses indicated the obvious: “to find a job – while having worked </w:t>
      </w:r>
      <w:r w:rsidR="006A1C23">
        <w:rPr>
          <w:rFonts w:eastAsia="Calibri"/>
          <w:lang w:eastAsia="en-GB"/>
        </w:rPr>
        <w:t>back home</w:t>
      </w:r>
      <w:r>
        <w:rPr>
          <w:rFonts w:eastAsia="Calibri"/>
          <w:lang w:eastAsia="en-GB"/>
        </w:rPr>
        <w:t xml:space="preserve"> before”</w:t>
      </w:r>
      <w:r w:rsidR="00A44706">
        <w:rPr>
          <w:rFonts w:eastAsia="Calibri"/>
          <w:lang w:eastAsia="en-GB"/>
        </w:rPr>
        <w:t xml:space="preserve"> (fig.4)</w:t>
      </w:r>
      <w:r>
        <w:rPr>
          <w:rFonts w:eastAsia="Calibri"/>
          <w:lang w:eastAsia="en-GB"/>
        </w:rPr>
        <w:t xml:space="preserve">.  </w:t>
      </w:r>
    </w:p>
    <w:p w14:paraId="6ECD08FA" w14:textId="77777777" w:rsidR="004623DB" w:rsidRDefault="004623DB" w:rsidP="0015335E">
      <w:pPr>
        <w:pStyle w:val="Default"/>
        <w:contextualSpacing/>
        <w:jc w:val="both"/>
        <w:rPr>
          <w:rFonts w:eastAsia="Calibri"/>
          <w:lang w:eastAsia="en-GB"/>
        </w:rPr>
      </w:pPr>
    </w:p>
    <w:p w14:paraId="17141DC2" w14:textId="5C2F3542" w:rsidR="00A44706" w:rsidRDefault="00A44706" w:rsidP="00A44706">
      <w:pPr>
        <w:pStyle w:val="Default"/>
        <w:rPr>
          <w:rFonts w:asciiTheme="minorBidi" w:hAnsiTheme="minorBidi" w:cstheme="minorBidi"/>
          <w:i/>
          <w:iCs/>
          <w:u w:val="single"/>
        </w:rPr>
      </w:pPr>
      <w:r w:rsidRPr="004A6236">
        <w:rPr>
          <w:rFonts w:asciiTheme="minorBidi" w:hAnsiTheme="minorBidi" w:cstheme="minorBidi"/>
          <w:i/>
          <w:iCs/>
          <w:u w:val="single"/>
        </w:rPr>
        <w:t xml:space="preserve">Figure </w:t>
      </w:r>
      <w:r>
        <w:rPr>
          <w:rFonts w:asciiTheme="minorBidi" w:hAnsiTheme="minorBidi" w:cstheme="minorBidi"/>
          <w:i/>
          <w:iCs/>
          <w:u w:val="single"/>
        </w:rPr>
        <w:t>4</w:t>
      </w:r>
      <w:r w:rsidRPr="004A6236">
        <w:rPr>
          <w:rFonts w:asciiTheme="minorBidi" w:hAnsiTheme="minorBidi" w:cstheme="minorBidi"/>
          <w:i/>
          <w:iCs/>
          <w:u w:val="single"/>
        </w:rPr>
        <w:t xml:space="preserve">: </w:t>
      </w:r>
      <w:r>
        <w:rPr>
          <w:rFonts w:asciiTheme="minorBidi" w:hAnsiTheme="minorBidi" w:cstheme="minorBidi"/>
          <w:i/>
          <w:iCs/>
          <w:u w:val="single"/>
        </w:rPr>
        <w:t>Push factors of participants’ emigration</w:t>
      </w:r>
    </w:p>
    <w:p w14:paraId="4ED765B9" w14:textId="0091B870" w:rsidR="0017705C" w:rsidRDefault="0017705C" w:rsidP="0015335E">
      <w:pPr>
        <w:pStyle w:val="Default"/>
        <w:contextualSpacing/>
        <w:jc w:val="both"/>
        <w:rPr>
          <w:rFonts w:eastAsia="Calibri"/>
          <w:lang w:eastAsia="en-GB"/>
        </w:rPr>
      </w:pPr>
      <w:r>
        <w:rPr>
          <w:noProof/>
          <w:lang w:eastAsia="en-GB"/>
        </w:rPr>
        <w:drawing>
          <wp:inline distT="0" distB="0" distL="0" distR="0" wp14:anchorId="02604B52" wp14:editId="1D9317C5">
            <wp:extent cx="4076700" cy="26193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5D4301" w14:textId="21E05E8C" w:rsidR="00132476" w:rsidRDefault="00132476" w:rsidP="0015335E">
      <w:pPr>
        <w:pStyle w:val="Default"/>
        <w:contextualSpacing/>
        <w:jc w:val="both"/>
        <w:rPr>
          <w:rFonts w:eastAsia="Calibri"/>
          <w:lang w:eastAsia="en-GB"/>
        </w:rPr>
      </w:pPr>
      <w:bookmarkStart w:id="0" w:name="_GoBack"/>
      <w:bookmarkEnd w:id="0"/>
    </w:p>
    <w:p w14:paraId="738B9A77" w14:textId="1E04B014" w:rsidR="002D4E44" w:rsidRDefault="00132476" w:rsidP="0015335E">
      <w:pPr>
        <w:pStyle w:val="Default"/>
        <w:contextualSpacing/>
        <w:jc w:val="both"/>
        <w:rPr>
          <w:rFonts w:eastAsia="Calibri"/>
          <w:lang w:eastAsia="en-GB"/>
        </w:rPr>
      </w:pPr>
      <w:r>
        <w:rPr>
          <w:rFonts w:asciiTheme="minorBidi" w:hAnsiTheme="minorBidi" w:cstheme="minorBidi"/>
        </w:rPr>
        <w:t>Other emerging push factors related with the economic crisis and the employment uncertainty both in Greece and Portugal, followed by the reduced meritocracy and the political corruption (fig.5).</w:t>
      </w:r>
    </w:p>
    <w:p w14:paraId="34E7058F" w14:textId="77777777" w:rsidR="002D4E44" w:rsidRDefault="002D4E44" w:rsidP="0015335E">
      <w:pPr>
        <w:pStyle w:val="Default"/>
        <w:contextualSpacing/>
        <w:jc w:val="both"/>
        <w:rPr>
          <w:rFonts w:eastAsia="Calibri"/>
          <w:lang w:eastAsia="en-GB"/>
        </w:rPr>
      </w:pPr>
    </w:p>
    <w:p w14:paraId="0E7FE985" w14:textId="69AEA6BF" w:rsidR="0017705C" w:rsidRDefault="0017705C" w:rsidP="0015335E">
      <w:pPr>
        <w:pStyle w:val="Default"/>
        <w:contextualSpacing/>
        <w:jc w:val="both"/>
        <w:rPr>
          <w:rFonts w:eastAsia="Calibri"/>
          <w:lang w:eastAsia="en-GB"/>
        </w:rPr>
      </w:pPr>
    </w:p>
    <w:p w14:paraId="61776F56" w14:textId="3DF726DC" w:rsidR="00653747" w:rsidRDefault="00653747" w:rsidP="0015335E">
      <w:pPr>
        <w:pStyle w:val="Default"/>
        <w:contextualSpacing/>
        <w:jc w:val="both"/>
        <w:rPr>
          <w:rFonts w:eastAsia="Calibri"/>
          <w:lang w:eastAsia="en-GB"/>
        </w:rPr>
      </w:pPr>
    </w:p>
    <w:p w14:paraId="4D9A9FFC" w14:textId="3B4FCC8D" w:rsidR="00653747" w:rsidRDefault="00653747" w:rsidP="0015335E">
      <w:pPr>
        <w:pStyle w:val="Default"/>
        <w:contextualSpacing/>
        <w:jc w:val="both"/>
        <w:rPr>
          <w:rFonts w:eastAsia="Calibri"/>
          <w:lang w:eastAsia="en-GB"/>
        </w:rPr>
      </w:pPr>
    </w:p>
    <w:p w14:paraId="7F6712F0" w14:textId="0515A385" w:rsidR="00132476" w:rsidRDefault="00132476" w:rsidP="0015335E">
      <w:pPr>
        <w:pStyle w:val="Default"/>
        <w:contextualSpacing/>
        <w:jc w:val="both"/>
        <w:rPr>
          <w:rFonts w:eastAsia="Calibri"/>
          <w:lang w:eastAsia="en-GB"/>
        </w:rPr>
      </w:pPr>
    </w:p>
    <w:p w14:paraId="2A2ED280" w14:textId="77777777" w:rsidR="006A1C23" w:rsidRDefault="006A1C23" w:rsidP="0015335E">
      <w:pPr>
        <w:pStyle w:val="Default"/>
        <w:contextualSpacing/>
        <w:jc w:val="both"/>
        <w:rPr>
          <w:rFonts w:eastAsia="Calibri"/>
          <w:lang w:eastAsia="en-GB"/>
        </w:rPr>
      </w:pPr>
    </w:p>
    <w:p w14:paraId="097DB75C" w14:textId="36EFFF2B" w:rsidR="00132476" w:rsidRDefault="00132476" w:rsidP="0015335E">
      <w:pPr>
        <w:pStyle w:val="Default"/>
        <w:contextualSpacing/>
        <w:jc w:val="both"/>
        <w:rPr>
          <w:rFonts w:eastAsia="Calibri"/>
          <w:lang w:eastAsia="en-GB"/>
        </w:rPr>
      </w:pPr>
    </w:p>
    <w:p w14:paraId="301CD7AF" w14:textId="5D8B1DDA" w:rsidR="00132476" w:rsidRDefault="00132476" w:rsidP="0015335E">
      <w:pPr>
        <w:pStyle w:val="Default"/>
        <w:contextualSpacing/>
        <w:jc w:val="both"/>
        <w:rPr>
          <w:rFonts w:eastAsia="Calibri"/>
          <w:lang w:eastAsia="en-GB"/>
        </w:rPr>
      </w:pPr>
    </w:p>
    <w:p w14:paraId="3D0526C3" w14:textId="09ACD644" w:rsidR="00132476" w:rsidRDefault="00132476" w:rsidP="0015335E">
      <w:pPr>
        <w:pStyle w:val="Default"/>
        <w:contextualSpacing/>
        <w:jc w:val="both"/>
        <w:rPr>
          <w:rFonts w:eastAsia="Calibri"/>
          <w:lang w:eastAsia="en-GB"/>
        </w:rPr>
      </w:pPr>
    </w:p>
    <w:p w14:paraId="46A4B6DC" w14:textId="3807ECB1" w:rsidR="00132476" w:rsidRDefault="00132476" w:rsidP="0015335E">
      <w:pPr>
        <w:pStyle w:val="Default"/>
        <w:contextualSpacing/>
        <w:jc w:val="both"/>
        <w:rPr>
          <w:rFonts w:eastAsia="Calibri"/>
          <w:lang w:eastAsia="en-GB"/>
        </w:rPr>
      </w:pPr>
    </w:p>
    <w:p w14:paraId="3848CE77" w14:textId="5A0F3961" w:rsidR="00132476" w:rsidRDefault="00132476" w:rsidP="00132476">
      <w:pPr>
        <w:pStyle w:val="Default"/>
        <w:rPr>
          <w:rFonts w:asciiTheme="minorBidi" w:hAnsiTheme="minorBidi" w:cstheme="minorBidi"/>
          <w:i/>
          <w:iCs/>
          <w:u w:val="single"/>
        </w:rPr>
      </w:pPr>
      <w:r w:rsidRPr="004A6236">
        <w:rPr>
          <w:rFonts w:asciiTheme="minorBidi" w:hAnsiTheme="minorBidi" w:cstheme="minorBidi"/>
          <w:i/>
          <w:iCs/>
          <w:u w:val="single"/>
        </w:rPr>
        <w:lastRenderedPageBreak/>
        <w:t xml:space="preserve">Figure </w:t>
      </w:r>
      <w:r>
        <w:rPr>
          <w:rFonts w:asciiTheme="minorBidi" w:hAnsiTheme="minorBidi" w:cstheme="minorBidi"/>
          <w:i/>
          <w:iCs/>
          <w:u w:val="single"/>
        </w:rPr>
        <w:t>5</w:t>
      </w:r>
      <w:r w:rsidRPr="004A6236">
        <w:rPr>
          <w:rFonts w:asciiTheme="minorBidi" w:hAnsiTheme="minorBidi" w:cstheme="minorBidi"/>
          <w:i/>
          <w:iCs/>
          <w:u w:val="single"/>
        </w:rPr>
        <w:t xml:space="preserve">: </w:t>
      </w:r>
      <w:r>
        <w:rPr>
          <w:rFonts w:asciiTheme="minorBidi" w:hAnsiTheme="minorBidi" w:cstheme="minorBidi"/>
          <w:i/>
          <w:iCs/>
          <w:u w:val="single"/>
        </w:rPr>
        <w:t>Extra Push factors of participants’ emigration</w:t>
      </w:r>
    </w:p>
    <w:p w14:paraId="3C35018D" w14:textId="1519312E" w:rsidR="00132476" w:rsidRDefault="00132476" w:rsidP="0015335E">
      <w:pPr>
        <w:pStyle w:val="Default"/>
        <w:contextualSpacing/>
        <w:jc w:val="both"/>
        <w:rPr>
          <w:rFonts w:eastAsia="Calibri"/>
          <w:lang w:eastAsia="en-GB"/>
        </w:rPr>
      </w:pPr>
      <w:r>
        <w:rPr>
          <w:noProof/>
          <w:lang w:eastAsia="en-GB"/>
        </w:rPr>
        <w:drawing>
          <wp:inline distT="0" distB="0" distL="0" distR="0" wp14:anchorId="71B0AF94" wp14:editId="2BD6C775">
            <wp:extent cx="5248275" cy="3181350"/>
            <wp:effectExtent l="0" t="0" r="952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2807D9E" w14:textId="0621F58E" w:rsidR="00132476" w:rsidRDefault="00132476" w:rsidP="0015335E">
      <w:pPr>
        <w:pStyle w:val="Default"/>
        <w:contextualSpacing/>
        <w:jc w:val="both"/>
        <w:rPr>
          <w:rFonts w:eastAsia="Calibri"/>
          <w:lang w:eastAsia="en-GB"/>
        </w:rPr>
      </w:pPr>
    </w:p>
    <w:p w14:paraId="5FD5F23F" w14:textId="77777777" w:rsidR="00132476" w:rsidRDefault="00132476" w:rsidP="0015335E">
      <w:pPr>
        <w:pStyle w:val="Default"/>
        <w:contextualSpacing/>
        <w:jc w:val="both"/>
        <w:rPr>
          <w:rFonts w:eastAsia="Calibri"/>
          <w:lang w:eastAsia="en-GB"/>
        </w:rPr>
      </w:pPr>
    </w:p>
    <w:p w14:paraId="36C27175" w14:textId="77777777" w:rsidR="00402B70" w:rsidRDefault="00BB43E5" w:rsidP="00BB43E5">
      <w:pPr>
        <w:pStyle w:val="Default"/>
        <w:contextualSpacing/>
        <w:jc w:val="both"/>
      </w:pPr>
      <w:r>
        <w:rPr>
          <w:rFonts w:eastAsia="Calibri"/>
          <w:lang w:eastAsia="en-GB"/>
        </w:rPr>
        <w:t xml:space="preserve">Moving beyond those basic </w:t>
      </w:r>
      <w:r w:rsidR="002F1715">
        <w:rPr>
          <w:rFonts w:eastAsia="Calibri"/>
          <w:lang w:eastAsia="en-GB"/>
        </w:rPr>
        <w:t>yet interesting observations</w:t>
      </w:r>
      <w:r>
        <w:rPr>
          <w:rFonts w:eastAsia="Calibri"/>
          <w:lang w:eastAsia="en-GB"/>
        </w:rPr>
        <w:t xml:space="preserve">, </w:t>
      </w:r>
      <w:r w:rsidR="002F1715">
        <w:rPr>
          <w:rFonts w:eastAsia="Calibri"/>
          <w:lang w:eastAsia="en-GB"/>
        </w:rPr>
        <w:t>in relation</w:t>
      </w:r>
      <w:r>
        <w:rPr>
          <w:rFonts w:eastAsia="Calibri"/>
          <w:lang w:eastAsia="en-GB"/>
        </w:rPr>
        <w:t xml:space="preserve"> to the </w:t>
      </w:r>
      <w:r w:rsidR="0015335E">
        <w:t>first aim of this research project</w:t>
      </w:r>
      <w:r>
        <w:t>,</w:t>
      </w:r>
      <w:r w:rsidR="0015335E">
        <w:t xml:space="preserve"> t</w:t>
      </w:r>
      <w:r w:rsidR="0015335E" w:rsidRPr="00E80A0C">
        <w:t xml:space="preserve">here is anecdotal evidence </w:t>
      </w:r>
      <w:r w:rsidR="0015335E">
        <w:t>that shows</w:t>
      </w:r>
      <w:r w:rsidR="0015335E" w:rsidRPr="00E80A0C">
        <w:t xml:space="preserve"> diversity</w:t>
      </w:r>
      <w:r>
        <w:t xml:space="preserve"> training</w:t>
      </w:r>
      <w:r w:rsidR="0015335E" w:rsidRPr="00E80A0C">
        <w:t xml:space="preserve"> </w:t>
      </w:r>
      <w:r w:rsidR="0015335E">
        <w:t xml:space="preserve">as increasingly </w:t>
      </w:r>
      <w:r w:rsidR="0015335E" w:rsidRPr="00E80A0C">
        <w:t>receiving attention from organi</w:t>
      </w:r>
      <w:r>
        <w:t>s</w:t>
      </w:r>
      <w:r w:rsidR="0015335E" w:rsidRPr="00E80A0C">
        <w:t xml:space="preserve">ational management. </w:t>
      </w:r>
      <w:r w:rsidR="0015335E">
        <w:t>For instance</w:t>
      </w:r>
      <w:r w:rsidR="0015335E" w:rsidRPr="007367D6">
        <w:rPr>
          <w:color w:val="auto"/>
        </w:rPr>
        <w:t xml:space="preserve">, Maxwell et al. (2001) </w:t>
      </w:r>
      <w:r w:rsidR="0015335E">
        <w:t>argues that</w:t>
      </w:r>
      <w:r w:rsidR="0015335E" w:rsidRPr="00E80A0C">
        <w:t xml:space="preserve"> people in the UK public sector normally regard diversity </w:t>
      </w:r>
      <w:r w:rsidR="0015335E">
        <w:t>training</w:t>
      </w:r>
      <w:r w:rsidR="0015335E" w:rsidRPr="00E80A0C">
        <w:t xml:space="preserve"> as </w:t>
      </w:r>
      <w:r w:rsidR="0015335E">
        <w:t>providing more equal opportunities for the whole workforce</w:t>
      </w:r>
      <w:r w:rsidR="0015335E" w:rsidRPr="00E80A0C">
        <w:t xml:space="preserve">. </w:t>
      </w:r>
      <w:r w:rsidR="0015335E">
        <w:t xml:space="preserve">Indeed, </w:t>
      </w:r>
      <w:r w:rsidR="002F1715">
        <w:t>a</w:t>
      </w:r>
      <w:r w:rsidR="0015335E" w:rsidRPr="00E80A0C">
        <w:t xml:space="preserve"> recent survey </w:t>
      </w:r>
      <w:r w:rsidR="002F1715">
        <w:t>of individuals within UK organis</w:t>
      </w:r>
      <w:r w:rsidR="0015335E" w:rsidRPr="00E80A0C">
        <w:t>ations charged with diversity management responsibilities found that 94% of respondents said their organi</w:t>
      </w:r>
      <w:r w:rsidR="002F1715">
        <w:t>s</w:t>
      </w:r>
      <w:r w:rsidR="0015335E" w:rsidRPr="00E80A0C">
        <w:t xml:space="preserve">ation employed </w:t>
      </w:r>
      <w:r w:rsidR="0015335E">
        <w:t>some sort of diversity</w:t>
      </w:r>
      <w:r w:rsidR="0015335E" w:rsidRPr="00E80A0C">
        <w:t xml:space="preserve"> awareness training, and 77% mentioned offering</w:t>
      </w:r>
      <w:r w:rsidR="0015335E">
        <w:t xml:space="preserve"> diversity training to employees in managerial roles</w:t>
      </w:r>
      <w:r w:rsidR="0015335E" w:rsidRPr="00E80A0C">
        <w:t xml:space="preserve"> (CIPD, </w:t>
      </w:r>
      <w:r>
        <w:t>2017</w:t>
      </w:r>
      <w:r w:rsidR="0015335E" w:rsidRPr="00E80A0C">
        <w:t xml:space="preserve">). However, </w:t>
      </w:r>
      <w:r w:rsidR="0015335E">
        <w:t xml:space="preserve">as the literature review highlighted many organisations have not yet been successful in training and retaining migrant </w:t>
      </w:r>
      <w:r w:rsidR="0015335E" w:rsidRPr="007367D6">
        <w:rPr>
          <w:color w:val="auto"/>
        </w:rPr>
        <w:t xml:space="preserve">employees (Goodman et al. 2003). Managers </w:t>
      </w:r>
      <w:r w:rsidR="0015335E" w:rsidRPr="00E80A0C">
        <w:t>in organi</w:t>
      </w:r>
      <w:r w:rsidR="002F1715">
        <w:t>s</w:t>
      </w:r>
      <w:r w:rsidR="0015335E" w:rsidRPr="00E80A0C">
        <w:t xml:space="preserve">ations where there is a lack of effective HR diversity polices are likely to promote or rate highly subordinates who have similar cultural backgrounds </w:t>
      </w:r>
      <w:r w:rsidR="0015335E">
        <w:t>and experience</w:t>
      </w:r>
      <w:r w:rsidR="00402B70">
        <w:t xml:space="preserve"> (ibid)</w:t>
      </w:r>
      <w:r w:rsidR="0015335E">
        <w:t xml:space="preserve">. </w:t>
      </w:r>
    </w:p>
    <w:p w14:paraId="4FBF378F" w14:textId="77777777" w:rsidR="00402B70" w:rsidRDefault="00402B70" w:rsidP="00BB43E5">
      <w:pPr>
        <w:pStyle w:val="Default"/>
        <w:contextualSpacing/>
        <w:jc w:val="both"/>
      </w:pPr>
    </w:p>
    <w:p w14:paraId="52039FEB" w14:textId="09F8B568" w:rsidR="005B3FEC" w:rsidRDefault="0015335E" w:rsidP="00BB43E5">
      <w:pPr>
        <w:pStyle w:val="Default"/>
        <w:contextualSpacing/>
        <w:jc w:val="both"/>
      </w:pPr>
      <w:r w:rsidRPr="00E80A0C">
        <w:t xml:space="preserve">In relation to this research study, the preliminary findings do not yet allow a full picture of whether </w:t>
      </w:r>
      <w:r>
        <w:t>the analysed workplaces</w:t>
      </w:r>
      <w:r w:rsidR="00402B70">
        <w:t xml:space="preserve"> (through participants’ perceptions of them with regards to diversity training)</w:t>
      </w:r>
      <w:r>
        <w:t xml:space="preserve"> do indeed apply effective</w:t>
      </w:r>
      <w:r w:rsidR="00302285">
        <w:t xml:space="preserve"> diversity training programmes. </w:t>
      </w:r>
      <w:r w:rsidR="001E64F4">
        <w:t>A</w:t>
      </w:r>
      <w:r w:rsidR="001E64F4" w:rsidRPr="009027CC">
        <w:t xml:space="preserve"> large majority of our research participants</w:t>
      </w:r>
      <w:r w:rsidR="001E64F4">
        <w:t xml:space="preserve"> (42 out of 56) though</w:t>
      </w:r>
      <w:r w:rsidR="001E64F4" w:rsidRPr="009027CC">
        <w:t xml:space="preserve"> outlined the importance of diversity </w:t>
      </w:r>
      <w:r w:rsidR="001E64F4" w:rsidRPr="001E64F4">
        <w:rPr>
          <w:color w:val="auto"/>
        </w:rPr>
        <w:t>training as a means of social integration at work. However, research data offered from participants’ perceptions of diversity training and social integration at work suggests that diversity training and diversity awareness training varied according to sector and the organisation’</w:t>
      </w:r>
      <w:r w:rsidR="001E64F4">
        <w:rPr>
          <w:color w:val="auto"/>
        </w:rPr>
        <w:t xml:space="preserve">s size. Thus, </w:t>
      </w:r>
      <w:r w:rsidR="001E64F4">
        <w:t>o</w:t>
      </w:r>
      <w:r w:rsidR="00302285" w:rsidRPr="009027CC">
        <w:t xml:space="preserve">n one hand, </w:t>
      </w:r>
      <w:r w:rsidR="00E866E1">
        <w:t xml:space="preserve">some </w:t>
      </w:r>
      <w:r w:rsidR="00302285" w:rsidRPr="009027CC">
        <w:t>research participants</w:t>
      </w:r>
      <w:r w:rsidR="00E866E1">
        <w:t xml:space="preserve"> (16 out of 56)</w:t>
      </w:r>
      <w:r w:rsidR="00302285" w:rsidRPr="009027CC">
        <w:t xml:space="preserve"> reported an overall mediocre or inexistent diversity training programmes implemented within their workplaces. </w:t>
      </w:r>
      <w:r w:rsidR="00302285">
        <w:t>There were many highlighting that although a diversity and inclusion policy exists within their organisations, this is more for legitimate purposes so as to meet the legal requirements of the UK labour law.</w:t>
      </w:r>
      <w:r w:rsidR="001E64F4">
        <w:t xml:space="preserve"> </w:t>
      </w:r>
      <w:r w:rsidR="00302285">
        <w:t>Therefore, having not an actual diversity training approach in place</w:t>
      </w:r>
      <w:r w:rsidR="005B3FEC">
        <w:t xml:space="preserve"> (beyond meeting legal obligation), participants outlined that </w:t>
      </w:r>
      <w:r w:rsidR="00302285" w:rsidRPr="009027CC">
        <w:t xml:space="preserve">their social integration was difficult, with some </w:t>
      </w:r>
      <w:r w:rsidR="005B3FEC">
        <w:t>of them</w:t>
      </w:r>
      <w:r w:rsidR="00302285" w:rsidRPr="009027CC">
        <w:t xml:space="preserve"> indicating high levels of marginalisation within the</w:t>
      </w:r>
      <w:r w:rsidR="005B3FEC">
        <w:t>ir</w:t>
      </w:r>
      <w:r w:rsidR="00302285" w:rsidRPr="009027CC">
        <w:t xml:space="preserve"> workplace.</w:t>
      </w:r>
      <w:r w:rsidR="005B3FEC">
        <w:t xml:space="preserve"> That also emerged as of their limited daily social networking with their native colleagues. </w:t>
      </w:r>
    </w:p>
    <w:p w14:paraId="40732E3B" w14:textId="3DC6DF83" w:rsidR="0015335E" w:rsidRPr="00E866E1" w:rsidRDefault="001E64F4" w:rsidP="00E866E1">
      <w:pPr>
        <w:pStyle w:val="Default"/>
        <w:contextualSpacing/>
        <w:jc w:val="both"/>
      </w:pPr>
      <w:r>
        <w:lastRenderedPageBreak/>
        <w:t xml:space="preserve">In </w:t>
      </w:r>
      <w:r w:rsidR="00302285" w:rsidRPr="009027CC">
        <w:t xml:space="preserve">contrary, </w:t>
      </w:r>
      <w:r w:rsidR="00E866E1">
        <w:t>the large majority of our participants (40 out of 56) argued</w:t>
      </w:r>
      <w:r w:rsidR="00302285" w:rsidRPr="009027CC">
        <w:t xml:space="preserve"> that diversity training have offered them the social support being required to effectively integrate within the organisational and work settings. </w:t>
      </w:r>
      <w:r w:rsidR="00681461">
        <w:t>They have recalled various experiential training interventions</w:t>
      </w:r>
      <w:r w:rsidR="00AF5208">
        <w:t xml:space="preserve"> (e.g. on-the-job training, role playing, sensitivity training etc.)</w:t>
      </w:r>
      <w:r w:rsidR="00681461">
        <w:t>, either individual or group</w:t>
      </w:r>
      <w:r w:rsidR="00AF5208">
        <w:t xml:space="preserve"> and beyond that required as part of their induction</w:t>
      </w:r>
      <w:r w:rsidR="00681461">
        <w:t xml:space="preserve">, targeting in enhancing their workplace behaviours, along with others focusing on increasing their cultural awareness. All training aimed at highlighting the importance of diversity and inclusion within the workplace, along with how to treat diverse stakeholders. Following their comments, they have also reported increased levels of productivity and organisational efficacy; fully supporting Herring and Henderson (2015) suggestion that diversity training </w:t>
      </w:r>
      <w:r w:rsidR="00701922">
        <w:t>does pay off</w:t>
      </w:r>
      <w:r w:rsidR="00681461">
        <w:t>. Further to that, t</w:t>
      </w:r>
      <w:r w:rsidR="005B3FEC">
        <w:t xml:space="preserve">hose </w:t>
      </w:r>
      <w:r w:rsidR="00701922">
        <w:t xml:space="preserve">participants </w:t>
      </w:r>
      <w:r w:rsidR="005B3FEC">
        <w:t xml:space="preserve">were also the ones indicating high levels of daily social interaction/networking with their colleagues which actually made it easier for them to socially integrate both within their work and life in the UK. </w:t>
      </w:r>
      <w:r w:rsidR="00E866E1">
        <w:t xml:space="preserve">Based upon this evidence, </w:t>
      </w:r>
      <w:r w:rsidR="00302285" w:rsidRPr="009027CC">
        <w:t>the research could make a strong argument that diversity training can be viewed as a means to better integrate migrant workers at the workplace</w:t>
      </w:r>
      <w:r w:rsidR="00E866E1">
        <w:t>.</w:t>
      </w:r>
    </w:p>
    <w:p w14:paraId="5D4876EE" w14:textId="4007703D" w:rsidR="00302285" w:rsidRDefault="00302285" w:rsidP="0015335E">
      <w:pPr>
        <w:autoSpaceDE w:val="0"/>
        <w:autoSpaceDN w:val="0"/>
        <w:adjustRightInd w:val="0"/>
        <w:spacing w:after="0" w:line="240" w:lineRule="auto"/>
        <w:jc w:val="both"/>
        <w:rPr>
          <w:rFonts w:ascii="Times New Roman" w:hAnsi="Times New Roman" w:cs="Times New Roman"/>
          <w:color w:val="000000" w:themeColor="text1"/>
          <w:sz w:val="24"/>
          <w:szCs w:val="24"/>
        </w:rPr>
      </w:pPr>
    </w:p>
    <w:p w14:paraId="1DC1585D" w14:textId="5E86308F" w:rsidR="0015335E" w:rsidRDefault="00CB5778" w:rsidP="0015335E">
      <w:pPr>
        <w:autoSpaceDE w:val="0"/>
        <w:autoSpaceDN w:val="0"/>
        <w:adjustRightInd w:val="0"/>
        <w:spacing w:after="0" w:line="240" w:lineRule="auto"/>
        <w:jc w:val="both"/>
        <w:rPr>
          <w:rFonts w:ascii="Times New Roman" w:hAnsi="Times New Roman" w:cs="Times New Roman"/>
          <w:color w:val="000000" w:themeColor="text1"/>
          <w:sz w:val="24"/>
          <w:szCs w:val="24"/>
        </w:rPr>
      </w:pPr>
      <w:r w:rsidRPr="00CB5778">
        <w:rPr>
          <w:rFonts w:ascii="Times New Roman" w:hAnsi="Times New Roman" w:cs="Times New Roman"/>
          <w:sz w:val="24"/>
          <w:szCs w:val="24"/>
        </w:rPr>
        <w:t>In line with those participants who argued against their organisation’s efforts to social integrate them through their diversity policies, this</w:t>
      </w:r>
      <w:r w:rsidR="0015335E" w:rsidRPr="00CB5778">
        <w:rPr>
          <w:rFonts w:ascii="Times New Roman" w:hAnsi="Times New Roman" w:cs="Times New Roman"/>
          <w:sz w:val="24"/>
          <w:szCs w:val="24"/>
        </w:rPr>
        <w:t xml:space="preserve"> research study is also able to preliminary propose some explanations for the absence of good diversity training within the studied </w:t>
      </w:r>
      <w:r w:rsidR="0015335E">
        <w:rPr>
          <w:rFonts w:ascii="Times New Roman" w:hAnsi="Times New Roman" w:cs="Times New Roman"/>
          <w:color w:val="000000" w:themeColor="text1"/>
          <w:sz w:val="24"/>
          <w:szCs w:val="24"/>
        </w:rPr>
        <w:t xml:space="preserve">population. Firstly, workforce diversity and diversity awareness has only assumed the status of a key success factor in business and society only since the </w:t>
      </w:r>
      <w:r w:rsidR="0015335E" w:rsidRPr="00785B6D">
        <w:rPr>
          <w:rFonts w:ascii="Times New Roman" w:hAnsi="Times New Roman" w:cs="Times New Roman"/>
          <w:sz w:val="24"/>
          <w:szCs w:val="24"/>
        </w:rPr>
        <w:t xml:space="preserve">80s (D’Netto and Sohal, 1999), and has only come into the national legal framework since 1970 and in a final version with the </w:t>
      </w:r>
      <w:r w:rsidR="0015335E">
        <w:rPr>
          <w:rFonts w:ascii="Times New Roman" w:hAnsi="Times New Roman" w:cs="Times New Roman"/>
          <w:color w:val="000000" w:themeColor="text1"/>
          <w:sz w:val="24"/>
          <w:szCs w:val="24"/>
        </w:rPr>
        <w:t xml:space="preserve">Equality </w:t>
      </w:r>
      <w:r>
        <w:rPr>
          <w:rFonts w:ascii="Times New Roman" w:hAnsi="Times New Roman" w:cs="Times New Roman"/>
          <w:color w:val="000000" w:themeColor="text1"/>
          <w:sz w:val="24"/>
          <w:szCs w:val="24"/>
        </w:rPr>
        <w:t>A</w:t>
      </w:r>
      <w:r w:rsidR="0015335E">
        <w:rPr>
          <w:rFonts w:ascii="Times New Roman" w:hAnsi="Times New Roman" w:cs="Times New Roman"/>
          <w:color w:val="000000" w:themeColor="text1"/>
          <w:sz w:val="24"/>
          <w:szCs w:val="24"/>
        </w:rPr>
        <w:t xml:space="preserve">ct in 2010. Thus, the actual acceptance and integration of workforce diversity practices may take more time to be considered as crucial for a business. Secondly, the data and literature reviews suggests that British managers do not yet pay attention to workforce diversity due to the role and overall perception attached to the migrant worker as “the good worker”. This group of workers tends not to create many problems and appears to comply easily with organisational rules, or overlook any disadvantageous employment, contractual or relationship condition. </w:t>
      </w:r>
    </w:p>
    <w:p w14:paraId="1D67B3D7" w14:textId="77777777" w:rsidR="0015335E" w:rsidRDefault="0015335E" w:rsidP="0015335E">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CF53675" w14:textId="2FAAA7E3" w:rsidR="00396703" w:rsidRDefault="00CB2FFC" w:rsidP="001533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However, it is also suggested that d</w:t>
      </w:r>
      <w:r w:rsidR="0015335E">
        <w:rPr>
          <w:rFonts w:ascii="Times New Roman" w:hAnsi="Times New Roman" w:cs="Times New Roman"/>
          <w:color w:val="000000" w:themeColor="text1"/>
          <w:sz w:val="24"/>
          <w:szCs w:val="24"/>
        </w:rPr>
        <w:t>iversity training and the development of migrant employees’ skills may reduce the feeling of alienation and foster integration in the organisation and society. The preliminary results of this research study indicates that while identification of training needs is positive by the respondents, relevant diversity training programmes to deal with diversity-related issues are rather inadequate. The findings are not yet able to reveal which types of training programmes are inadequate or absent from the studied organisations. Moreover, respondents suggested that their organisations do not appear to be focusing on developing English language skills of migrant employees. This may be due to employers not regarding language barriers as a problem. However, unless migrant employees possess a good understand of English, they will not be able to participate effectively in team discussions or socially mingle with colleagues. Such inability often results in migrant employees being perceived as being “too quiet” by managers, or not completely integrate into workforce. This may impact on the promotion prospects of this group of workers.</w:t>
      </w:r>
    </w:p>
    <w:p w14:paraId="59FFE1FC" w14:textId="77777777" w:rsidR="008A28BA" w:rsidRDefault="00827F48" w:rsidP="00383328">
      <w:pPr>
        <w:autoSpaceDE w:val="0"/>
        <w:autoSpaceDN w:val="0"/>
        <w:adjustRightInd w:val="0"/>
        <w:spacing w:after="0" w:line="240" w:lineRule="auto"/>
        <w:jc w:val="both"/>
        <w:rPr>
          <w:rFonts w:ascii="TimesNewRomanPSMT" w:hAnsi="TimesNewRomanPSMT" w:cs="TimesNewRomanPSMT"/>
          <w:sz w:val="24"/>
          <w:szCs w:val="24"/>
        </w:rPr>
      </w:pPr>
      <w:r w:rsidRPr="00B802E1">
        <w:rPr>
          <w:rFonts w:ascii="Times New Roman" w:hAnsi="Times New Roman" w:cs="Times New Roman"/>
          <w:color w:val="000000" w:themeColor="text1"/>
          <w:sz w:val="24"/>
          <w:szCs w:val="24"/>
        </w:rPr>
        <w:t>All i</w:t>
      </w:r>
      <w:r w:rsidR="000051D8" w:rsidRPr="00B802E1">
        <w:rPr>
          <w:rFonts w:ascii="Times New Roman" w:hAnsi="Times New Roman" w:cs="Times New Roman"/>
          <w:color w:val="000000" w:themeColor="text1"/>
          <w:sz w:val="24"/>
          <w:szCs w:val="24"/>
        </w:rPr>
        <w:t xml:space="preserve">n all, </w:t>
      </w:r>
      <w:r w:rsidR="00B802E1" w:rsidRPr="00B802E1">
        <w:rPr>
          <w:rFonts w:ascii="Times New Roman" w:hAnsi="Times New Roman" w:cs="Times New Roman"/>
          <w:color w:val="000000" w:themeColor="text1"/>
          <w:sz w:val="24"/>
          <w:szCs w:val="24"/>
        </w:rPr>
        <w:t>having assessed</w:t>
      </w:r>
      <w:r w:rsidR="000051D8" w:rsidRPr="00B802E1">
        <w:rPr>
          <w:rFonts w:ascii="Times New Roman" w:hAnsi="Times New Roman" w:cs="Times New Roman"/>
          <w:color w:val="000000" w:themeColor="text1"/>
          <w:sz w:val="24"/>
          <w:szCs w:val="24"/>
        </w:rPr>
        <w:t xml:space="preserve"> participants’</w:t>
      </w:r>
      <w:r w:rsidR="00B802E1" w:rsidRPr="00B802E1">
        <w:rPr>
          <w:rFonts w:ascii="Times New Roman" w:hAnsi="Times New Roman" w:cs="Times New Roman"/>
          <w:color w:val="000000" w:themeColor="text1"/>
          <w:sz w:val="24"/>
          <w:szCs w:val="24"/>
        </w:rPr>
        <w:t xml:space="preserve"> perspectives on the role of diversity training in managing their social integration at the workplace, the study highlights a positive association between diversity training and social integration at the workplace on behalf of migrant </w:t>
      </w:r>
      <w:r w:rsidR="00B802E1" w:rsidRPr="00B802E1">
        <w:rPr>
          <w:rFonts w:ascii="Times New Roman" w:hAnsi="Times New Roman" w:cs="Times New Roman"/>
          <w:color w:val="000000" w:themeColor="text1"/>
          <w:sz w:val="24"/>
          <w:szCs w:val="24"/>
        </w:rPr>
        <w:lastRenderedPageBreak/>
        <w:t xml:space="preserve">workers. </w:t>
      </w:r>
      <w:r w:rsidR="00B802E1" w:rsidRPr="00B802E1">
        <w:rPr>
          <w:rFonts w:ascii="Times New Roman" w:hAnsi="Times New Roman" w:cs="Times New Roman"/>
          <w:sz w:val="24"/>
          <w:szCs w:val="24"/>
        </w:rPr>
        <w:t xml:space="preserve">This study theoretically and methodologically extends the relevant literature in three ways. First, it advances our understanding of the role of diversity training (and of its consequences) with regards to migrant workers’ social integration at the workplace. Therefore, </w:t>
      </w:r>
      <w:r w:rsidR="00B802E1">
        <w:rPr>
          <w:rFonts w:ascii="Times New Roman" w:hAnsi="Times New Roman" w:cs="Times New Roman"/>
          <w:sz w:val="24"/>
          <w:szCs w:val="24"/>
        </w:rPr>
        <w:t>e</w:t>
      </w:r>
      <w:r w:rsidR="00B802E1" w:rsidRPr="00B802E1">
        <w:rPr>
          <w:rFonts w:ascii="Times New Roman" w:hAnsi="Times New Roman" w:cs="Times New Roman"/>
          <w:sz w:val="24"/>
          <w:szCs w:val="24"/>
        </w:rPr>
        <w:t>mployees who are more</w:t>
      </w:r>
      <w:r w:rsidR="00B802E1">
        <w:rPr>
          <w:rFonts w:ascii="Times New Roman" w:hAnsi="Times New Roman" w:cs="Times New Roman"/>
          <w:sz w:val="24"/>
          <w:szCs w:val="24"/>
        </w:rPr>
        <w:t xml:space="preserve"> socially</w:t>
      </w:r>
      <w:r w:rsidR="00B802E1" w:rsidRPr="00B802E1">
        <w:rPr>
          <w:rFonts w:ascii="Times New Roman" w:hAnsi="Times New Roman" w:cs="Times New Roman"/>
          <w:sz w:val="24"/>
          <w:szCs w:val="24"/>
        </w:rPr>
        <w:t xml:space="preserve"> integrated </w:t>
      </w:r>
      <w:r w:rsidR="00B802E1">
        <w:rPr>
          <w:rFonts w:ascii="Times New Roman" w:hAnsi="Times New Roman" w:cs="Times New Roman"/>
          <w:sz w:val="24"/>
          <w:szCs w:val="24"/>
        </w:rPr>
        <w:t>at</w:t>
      </w:r>
      <w:r w:rsidR="00B802E1" w:rsidRPr="00B802E1">
        <w:rPr>
          <w:rFonts w:ascii="Times New Roman" w:hAnsi="Times New Roman" w:cs="Times New Roman"/>
          <w:sz w:val="24"/>
          <w:szCs w:val="24"/>
        </w:rPr>
        <w:t xml:space="preserve"> the workplace report </w:t>
      </w:r>
      <w:r w:rsidR="00B802E1">
        <w:rPr>
          <w:rFonts w:ascii="Times New Roman" w:hAnsi="Times New Roman" w:cs="Times New Roman"/>
          <w:sz w:val="24"/>
          <w:szCs w:val="24"/>
        </w:rPr>
        <w:t xml:space="preserve">higher productivity and </w:t>
      </w:r>
      <w:r w:rsidR="00B802E1" w:rsidRPr="00B802E1">
        <w:rPr>
          <w:rFonts w:ascii="Times New Roman" w:hAnsi="Times New Roman" w:cs="Times New Roman"/>
          <w:sz w:val="24"/>
          <w:szCs w:val="24"/>
        </w:rPr>
        <w:t>lower levels of psychological distress</w:t>
      </w:r>
      <w:r w:rsidR="00B802E1">
        <w:rPr>
          <w:rFonts w:ascii="Times New Roman" w:hAnsi="Times New Roman" w:cs="Times New Roman"/>
          <w:sz w:val="24"/>
          <w:szCs w:val="24"/>
        </w:rPr>
        <w:t xml:space="preserve">. </w:t>
      </w:r>
      <w:r w:rsidR="00B802E1">
        <w:rPr>
          <w:rFonts w:ascii="TimesNewRomanPSMT" w:hAnsi="TimesNewRomanPSMT" w:cs="TimesNewRomanPSMT"/>
          <w:sz w:val="24"/>
          <w:szCs w:val="24"/>
        </w:rPr>
        <w:t>Second, this study merges the institutional perspective on diversity training with the social integration paradigm so as to demonstrate their positive correlation</w:t>
      </w:r>
      <w:r w:rsidR="00383328">
        <w:rPr>
          <w:rFonts w:ascii="TimesNewRomanPSMT" w:hAnsi="TimesNewRomanPSMT" w:cs="TimesNewRomanPSMT"/>
          <w:sz w:val="24"/>
          <w:szCs w:val="24"/>
        </w:rPr>
        <w:t xml:space="preserve">. Finally, it </w:t>
      </w:r>
      <w:r w:rsidR="00B802E1">
        <w:rPr>
          <w:rFonts w:ascii="TimesNewRomanPSMT" w:hAnsi="TimesNewRomanPSMT" w:cs="TimesNewRomanPSMT"/>
          <w:sz w:val="24"/>
          <w:szCs w:val="24"/>
        </w:rPr>
        <w:t>shed</w:t>
      </w:r>
      <w:r w:rsidR="00383328">
        <w:rPr>
          <w:rFonts w:ascii="TimesNewRomanPSMT" w:hAnsi="TimesNewRomanPSMT" w:cs="TimesNewRomanPSMT"/>
          <w:sz w:val="24"/>
          <w:szCs w:val="24"/>
        </w:rPr>
        <w:t xml:space="preserve">s </w:t>
      </w:r>
      <w:r w:rsidR="00B802E1">
        <w:rPr>
          <w:rFonts w:ascii="TimesNewRomanPSMT" w:hAnsi="TimesNewRomanPSMT" w:cs="TimesNewRomanPSMT"/>
          <w:sz w:val="24"/>
          <w:szCs w:val="24"/>
        </w:rPr>
        <w:t>light on</w:t>
      </w:r>
      <w:r w:rsidR="00383328">
        <w:rPr>
          <w:rFonts w:ascii="TimesNewRomanPSMT" w:hAnsi="TimesNewRomanPSMT" w:cs="TimesNewRomanPSMT"/>
          <w:sz w:val="24"/>
          <w:szCs w:val="24"/>
        </w:rPr>
        <w:t>to</w:t>
      </w:r>
      <w:r w:rsidR="00B802E1">
        <w:rPr>
          <w:rFonts w:ascii="TimesNewRomanPSMT" w:hAnsi="TimesNewRomanPSMT" w:cs="TimesNewRomanPSMT"/>
          <w:sz w:val="24"/>
          <w:szCs w:val="24"/>
        </w:rPr>
        <w:t xml:space="preserve"> </w:t>
      </w:r>
      <w:r w:rsidR="00C01822">
        <w:rPr>
          <w:rFonts w:ascii="TimesNewRomanPSMT" w:hAnsi="TimesNewRomanPSMT" w:cs="TimesNewRomanPSMT"/>
          <w:sz w:val="24"/>
          <w:szCs w:val="24"/>
        </w:rPr>
        <w:t>a different aspect</w:t>
      </w:r>
      <w:r w:rsidR="00B802E1">
        <w:rPr>
          <w:rFonts w:ascii="TimesNewRomanPSMT" w:hAnsi="TimesNewRomanPSMT" w:cs="TimesNewRomanPSMT"/>
          <w:sz w:val="24"/>
          <w:szCs w:val="24"/>
        </w:rPr>
        <w:t xml:space="preserve"> of social integration at work </w:t>
      </w:r>
      <w:r w:rsidR="00383328">
        <w:rPr>
          <w:rFonts w:ascii="TimesNewRomanPSMT" w:hAnsi="TimesNewRomanPSMT" w:cs="TimesNewRomanPSMT"/>
          <w:sz w:val="24"/>
          <w:szCs w:val="24"/>
        </w:rPr>
        <w:t>through</w:t>
      </w:r>
      <w:r w:rsidR="00B802E1">
        <w:rPr>
          <w:rFonts w:ascii="TimesNewRomanPSMT" w:hAnsi="TimesNewRomanPSMT" w:cs="TimesNewRomanPSMT"/>
          <w:sz w:val="24"/>
          <w:szCs w:val="24"/>
        </w:rPr>
        <w:t xml:space="preserve"> employees’ </w:t>
      </w:r>
      <w:r w:rsidR="00383328">
        <w:rPr>
          <w:rFonts w:ascii="TimesNewRomanPSMT" w:hAnsi="TimesNewRomanPSMT" w:cs="TimesNewRomanPSMT"/>
          <w:sz w:val="24"/>
          <w:szCs w:val="24"/>
        </w:rPr>
        <w:t>diversity training</w:t>
      </w:r>
      <w:r w:rsidR="00B802E1">
        <w:rPr>
          <w:rFonts w:ascii="TimesNewRomanPSMT" w:hAnsi="TimesNewRomanPSMT" w:cs="TimesNewRomanPSMT"/>
          <w:sz w:val="24"/>
          <w:szCs w:val="24"/>
        </w:rPr>
        <w:t>.</w:t>
      </w:r>
      <w:r w:rsidR="00C01822">
        <w:rPr>
          <w:rFonts w:ascii="TimesNewRomanPSMT" w:hAnsi="TimesNewRomanPSMT" w:cs="TimesNewRomanPSMT"/>
          <w:sz w:val="24"/>
          <w:szCs w:val="24"/>
        </w:rPr>
        <w:t xml:space="preserve"> Since this research is a working paper, its final results are subject to change. Yet, future research might be benefited from a comparison of more than two countries operating under different socio-economic circumstances so as to offer a more holistic view of the role of diversity training in managing social integration of migrant workers. In addition, future research could </w:t>
      </w:r>
      <w:r w:rsidR="008A28BA">
        <w:rPr>
          <w:rFonts w:ascii="TimesNewRomanPSMT" w:hAnsi="TimesNewRomanPSMT" w:cs="TimesNewRomanPSMT"/>
          <w:sz w:val="24"/>
          <w:szCs w:val="24"/>
        </w:rPr>
        <w:t xml:space="preserve">also </w:t>
      </w:r>
      <w:r w:rsidR="00C01822">
        <w:rPr>
          <w:rFonts w:ascii="TimesNewRomanPSMT" w:hAnsi="TimesNewRomanPSMT" w:cs="TimesNewRomanPSMT"/>
          <w:sz w:val="24"/>
          <w:szCs w:val="24"/>
        </w:rPr>
        <w:t xml:space="preserve">place </w:t>
      </w:r>
      <w:r w:rsidR="008A28BA">
        <w:rPr>
          <w:rFonts w:ascii="TimesNewRomanPSMT" w:hAnsi="TimesNewRomanPSMT" w:cs="TimesNewRomanPSMT"/>
          <w:sz w:val="24"/>
          <w:szCs w:val="24"/>
        </w:rPr>
        <w:t xml:space="preserve">greater emphasis </w:t>
      </w:r>
      <w:r w:rsidR="00C01822">
        <w:rPr>
          <w:rFonts w:ascii="TimesNewRomanPSMT" w:hAnsi="TimesNewRomanPSMT" w:cs="TimesNewRomanPSMT"/>
          <w:sz w:val="24"/>
          <w:szCs w:val="24"/>
        </w:rPr>
        <w:t xml:space="preserve">on the </w:t>
      </w:r>
      <w:r w:rsidR="008A28BA">
        <w:rPr>
          <w:rFonts w:ascii="TimesNewRomanPSMT" w:hAnsi="TimesNewRomanPSMT" w:cs="TimesNewRomanPSMT"/>
          <w:sz w:val="24"/>
          <w:szCs w:val="24"/>
        </w:rPr>
        <w:t>“</w:t>
      </w:r>
      <w:r w:rsidR="00C01822">
        <w:rPr>
          <w:rFonts w:ascii="TimesNewRomanPSMT" w:hAnsi="TimesNewRomanPSMT" w:cs="TimesNewRomanPSMT"/>
          <w:sz w:val="24"/>
          <w:szCs w:val="24"/>
        </w:rPr>
        <w:t>brain-exchange</w:t>
      </w:r>
      <w:r w:rsidR="008A28BA">
        <w:rPr>
          <w:rFonts w:ascii="TimesNewRomanPSMT" w:hAnsi="TimesNewRomanPSMT" w:cs="TimesNewRomanPSMT"/>
          <w:sz w:val="24"/>
          <w:szCs w:val="24"/>
        </w:rPr>
        <w:t>”</w:t>
      </w:r>
      <w:r w:rsidR="00C01822">
        <w:rPr>
          <w:rFonts w:ascii="TimesNewRomanPSMT" w:hAnsi="TimesNewRomanPSMT" w:cs="TimesNewRomanPSMT"/>
          <w:sz w:val="24"/>
          <w:szCs w:val="24"/>
        </w:rPr>
        <w:t xml:space="preserve"> phenomenon so as to address</w:t>
      </w:r>
      <w:r w:rsidR="008A28BA">
        <w:rPr>
          <w:rFonts w:ascii="TimesNewRomanPSMT" w:hAnsi="TimesNewRomanPSMT" w:cs="TimesNewRomanPSMT"/>
          <w:sz w:val="24"/>
          <w:szCs w:val="24"/>
        </w:rPr>
        <w:t xml:space="preserve"> its focus from a different, yet relevant to our scope, angle. </w:t>
      </w:r>
    </w:p>
    <w:p w14:paraId="31071501" w14:textId="0155F760" w:rsidR="00B802E1" w:rsidRDefault="00C01822" w:rsidP="00383328">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     </w:t>
      </w:r>
    </w:p>
    <w:p w14:paraId="2CD0BD0E" w14:textId="77777777" w:rsidR="00B802E1" w:rsidRPr="00B802E1" w:rsidRDefault="00B802E1" w:rsidP="00B802E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31309EE" w14:textId="77777777" w:rsidR="00277403" w:rsidRPr="00C67E18" w:rsidRDefault="00277403" w:rsidP="00277403">
      <w:pPr>
        <w:spacing w:after="0" w:line="240" w:lineRule="auto"/>
        <w:contextualSpacing/>
        <w:rPr>
          <w:rFonts w:asciiTheme="minorBidi" w:eastAsia="Calibri" w:hAnsiTheme="minorBidi"/>
          <w:b/>
          <w:sz w:val="28"/>
          <w:szCs w:val="28"/>
          <w:lang w:eastAsia="en-GB"/>
        </w:rPr>
      </w:pPr>
      <w:r w:rsidRPr="00C67E18">
        <w:rPr>
          <w:rFonts w:asciiTheme="minorBidi" w:eastAsia="Calibri" w:hAnsiTheme="minorBidi"/>
          <w:b/>
          <w:sz w:val="28"/>
          <w:szCs w:val="28"/>
          <w:lang w:eastAsia="en-GB"/>
        </w:rPr>
        <w:t>References</w:t>
      </w:r>
    </w:p>
    <w:p w14:paraId="7EC7CC9A"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Agrawal, A., Kapur, D., McHale, J. and Oettl, A. (2011). Brain drain or brain bank? The impact of skilled emigration on poor-country innovation. </w:t>
      </w:r>
      <w:r w:rsidRPr="006526A0">
        <w:rPr>
          <w:rFonts w:ascii="Times New Roman" w:hAnsi="Times New Roman" w:cs="Times New Roman"/>
          <w:i/>
          <w:sz w:val="24"/>
          <w:szCs w:val="24"/>
        </w:rPr>
        <w:t>Journal of Urban Economics</w:t>
      </w:r>
      <w:r w:rsidRPr="006526A0">
        <w:rPr>
          <w:rFonts w:ascii="Times New Roman" w:hAnsi="Times New Roman" w:cs="Times New Roman"/>
          <w:sz w:val="24"/>
          <w:szCs w:val="24"/>
        </w:rPr>
        <w:t>, 69(1): 43-55.</w:t>
      </w:r>
    </w:p>
    <w:p w14:paraId="52012475" w14:textId="77777777"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 xml:space="preserve">Anderson, B. (2010). Migration, immigration controls and the fashioning of precarious workers. </w:t>
      </w:r>
      <w:r w:rsidRPr="006526A0">
        <w:rPr>
          <w:rFonts w:ascii="Times New Roman" w:hAnsi="Times New Roman" w:cs="Times New Roman"/>
          <w:i/>
          <w:iCs/>
          <w:sz w:val="24"/>
          <w:szCs w:val="24"/>
        </w:rPr>
        <w:t xml:space="preserve">Work, Employment and Society, </w:t>
      </w:r>
      <w:r w:rsidRPr="006526A0">
        <w:rPr>
          <w:rFonts w:ascii="Times New Roman" w:hAnsi="Times New Roman" w:cs="Times New Roman"/>
          <w:sz w:val="24"/>
          <w:szCs w:val="24"/>
        </w:rPr>
        <w:t>24(2): 300-317.</w:t>
      </w:r>
    </w:p>
    <w:p w14:paraId="10E087BB"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Berkman, L.F. and Glass, T. (2000). Social Integration, Social Networks, Social Support and Health. In L.F. Berkman &amp; I. Kawachi (Eds.), </w:t>
      </w:r>
      <w:r w:rsidRPr="006526A0">
        <w:rPr>
          <w:rFonts w:ascii="Times New Roman" w:hAnsi="Times New Roman" w:cs="Times New Roman"/>
          <w:i/>
          <w:iCs/>
          <w:sz w:val="24"/>
          <w:szCs w:val="24"/>
        </w:rPr>
        <w:t xml:space="preserve">Social epidemiology </w:t>
      </w:r>
      <w:r w:rsidRPr="006526A0">
        <w:rPr>
          <w:rFonts w:ascii="Times New Roman" w:hAnsi="Times New Roman" w:cs="Times New Roman"/>
          <w:sz w:val="24"/>
          <w:szCs w:val="24"/>
        </w:rPr>
        <w:t>(pp. 137-73). New York: Oxford University Press.</w:t>
      </w:r>
    </w:p>
    <w:p w14:paraId="10C3C1A4" w14:textId="521AB454" w:rsidR="009F126F"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Bhagat, R.S., and London, M. (1999)</w:t>
      </w:r>
      <w:r>
        <w:rPr>
          <w:rFonts w:ascii="Times New Roman" w:hAnsi="Times New Roman" w:cs="Times New Roman"/>
          <w:sz w:val="24"/>
          <w:szCs w:val="24"/>
        </w:rPr>
        <w:t xml:space="preserve">. </w:t>
      </w:r>
      <w:r w:rsidRPr="006526A0">
        <w:rPr>
          <w:rFonts w:ascii="Times New Roman" w:hAnsi="Times New Roman" w:cs="Times New Roman"/>
          <w:sz w:val="24"/>
          <w:szCs w:val="24"/>
        </w:rPr>
        <w:t>Getting Started and Getting Ahead: Career Dynamics of Immigrants</w:t>
      </w:r>
      <w:r>
        <w:rPr>
          <w:rFonts w:ascii="Times New Roman" w:hAnsi="Times New Roman" w:cs="Times New Roman"/>
          <w:sz w:val="24"/>
          <w:szCs w:val="24"/>
        </w:rPr>
        <w:t>.</w:t>
      </w:r>
      <w:r w:rsidRPr="006526A0">
        <w:rPr>
          <w:rFonts w:ascii="Times New Roman" w:hAnsi="Times New Roman" w:cs="Times New Roman"/>
          <w:sz w:val="24"/>
          <w:szCs w:val="24"/>
        </w:rPr>
        <w:t xml:space="preserve"> </w:t>
      </w:r>
      <w:r w:rsidRPr="007E60B9">
        <w:rPr>
          <w:rFonts w:ascii="Times New Roman" w:hAnsi="Times New Roman" w:cs="Times New Roman"/>
          <w:i/>
          <w:sz w:val="24"/>
          <w:szCs w:val="24"/>
        </w:rPr>
        <w:t>Human Resource Management Review</w:t>
      </w:r>
      <w:r w:rsidRPr="006526A0">
        <w:rPr>
          <w:rFonts w:ascii="Times New Roman" w:hAnsi="Times New Roman" w:cs="Times New Roman"/>
          <w:sz w:val="24"/>
          <w:szCs w:val="24"/>
        </w:rPr>
        <w:t>, 9</w:t>
      </w:r>
      <w:r>
        <w:rPr>
          <w:rFonts w:ascii="Times New Roman" w:hAnsi="Times New Roman" w:cs="Times New Roman"/>
          <w:sz w:val="24"/>
          <w:szCs w:val="24"/>
        </w:rPr>
        <w:t>(</w:t>
      </w:r>
      <w:r w:rsidRPr="006526A0">
        <w:rPr>
          <w:rFonts w:ascii="Times New Roman" w:hAnsi="Times New Roman" w:cs="Times New Roman"/>
          <w:sz w:val="24"/>
          <w:szCs w:val="24"/>
        </w:rPr>
        <w:t>3</w:t>
      </w:r>
      <w:r>
        <w:rPr>
          <w:rFonts w:ascii="Times New Roman" w:hAnsi="Times New Roman" w:cs="Times New Roman"/>
          <w:sz w:val="24"/>
          <w:szCs w:val="24"/>
        </w:rPr>
        <w:t xml:space="preserve">): </w:t>
      </w:r>
      <w:r w:rsidRPr="006526A0">
        <w:rPr>
          <w:rFonts w:ascii="Times New Roman" w:hAnsi="Times New Roman" w:cs="Times New Roman"/>
          <w:sz w:val="24"/>
          <w:szCs w:val="24"/>
        </w:rPr>
        <w:t>349</w:t>
      </w:r>
      <w:r>
        <w:rPr>
          <w:rFonts w:ascii="Times New Roman" w:hAnsi="Times New Roman" w:cs="Times New Roman"/>
          <w:sz w:val="24"/>
          <w:szCs w:val="24"/>
        </w:rPr>
        <w:t>-</w:t>
      </w:r>
      <w:r w:rsidRPr="006526A0">
        <w:rPr>
          <w:rFonts w:ascii="Times New Roman" w:hAnsi="Times New Roman" w:cs="Times New Roman"/>
          <w:sz w:val="24"/>
          <w:szCs w:val="24"/>
        </w:rPr>
        <w:t>365.</w:t>
      </w:r>
    </w:p>
    <w:p w14:paraId="6584DB05" w14:textId="34D34D39" w:rsidR="0024724A" w:rsidRPr="006526A0" w:rsidRDefault="0024724A" w:rsidP="006526A0">
      <w:pPr>
        <w:autoSpaceDE w:val="0"/>
        <w:autoSpaceDN w:val="0"/>
        <w:adjustRightInd w:val="0"/>
        <w:spacing w:after="0" w:line="240" w:lineRule="auto"/>
        <w:ind w:firstLine="284"/>
        <w:jc w:val="both"/>
        <w:rPr>
          <w:rFonts w:ascii="Times New Roman" w:hAnsi="Times New Roman" w:cs="Times New Roman"/>
          <w:sz w:val="24"/>
          <w:szCs w:val="24"/>
        </w:rPr>
      </w:pPr>
      <w:r>
        <w:rPr>
          <w:rFonts w:ascii="TimesNewRomanPSMT" w:hAnsi="TimesNewRomanPSMT" w:cs="TimesNewRomanPSMT"/>
          <w:sz w:val="24"/>
          <w:szCs w:val="24"/>
        </w:rPr>
        <w:t xml:space="preserve">Bonifazi, C. (2001). International Migration Theory and the Migration process: Basic Reflections in the Italian Case. In </w:t>
      </w:r>
      <w:r>
        <w:rPr>
          <w:rFonts w:ascii="Times New Roman" w:hAnsi="Times New Roman" w:cs="Times New Roman"/>
          <w:i/>
          <w:iCs/>
          <w:sz w:val="24"/>
          <w:szCs w:val="24"/>
        </w:rPr>
        <w:t>Contributions to International Migration Studies</w:t>
      </w:r>
      <w:r>
        <w:rPr>
          <w:rFonts w:ascii="TimesNewRomanPSMT" w:hAnsi="TimesNewRomanPSMT" w:cs="TimesNewRomanPSMT"/>
          <w:sz w:val="24"/>
          <w:szCs w:val="24"/>
        </w:rPr>
        <w:t>. Edited by Bonifazi, C. and Gesano, G. Institute for Population Research: Roma.</w:t>
      </w:r>
    </w:p>
    <w:p w14:paraId="40E8669A"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Cerna, L. (2014). Understanding the diversity of EU migration policy in practice: The implementation of the blue card initiative. </w:t>
      </w:r>
      <w:r w:rsidRPr="006526A0">
        <w:rPr>
          <w:rFonts w:ascii="Times New Roman" w:hAnsi="Times New Roman" w:cs="Times New Roman"/>
          <w:i/>
          <w:sz w:val="24"/>
          <w:szCs w:val="24"/>
        </w:rPr>
        <w:t>Policy Studies</w:t>
      </w:r>
      <w:r w:rsidRPr="006526A0">
        <w:rPr>
          <w:rFonts w:ascii="Times New Roman" w:hAnsi="Times New Roman" w:cs="Times New Roman"/>
          <w:sz w:val="24"/>
          <w:szCs w:val="24"/>
        </w:rPr>
        <w:t>, 34(2): 180-200.</w:t>
      </w:r>
    </w:p>
    <w:p w14:paraId="2EB4FA5D"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Christopoulos, A.G., Kalantonis, P., Stavroulakis, D. and Katsikides, S. (2014). The migration of Greek scientists abroad and the phenomenon of brain drain in the current crisis. </w:t>
      </w:r>
      <w:r w:rsidRPr="006526A0">
        <w:rPr>
          <w:rFonts w:ascii="Times New Roman" w:hAnsi="Times New Roman" w:cs="Times New Roman"/>
          <w:i/>
          <w:iCs/>
          <w:sz w:val="24"/>
          <w:szCs w:val="24"/>
        </w:rPr>
        <w:t>International Journal of Business, Humanities and Technology</w:t>
      </w:r>
      <w:r w:rsidRPr="006526A0">
        <w:rPr>
          <w:rFonts w:ascii="Times New Roman" w:hAnsi="Times New Roman" w:cs="Times New Roman"/>
          <w:sz w:val="24"/>
          <w:szCs w:val="24"/>
        </w:rPr>
        <w:t>, 4(2): 106-114.</w:t>
      </w:r>
    </w:p>
    <w:p w14:paraId="6FF58225" w14:textId="680E90A1"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CIPD (</w:t>
      </w:r>
      <w:r w:rsidR="00BB43E5">
        <w:rPr>
          <w:rFonts w:ascii="Times New Roman" w:hAnsi="Times New Roman" w:cs="Times New Roman"/>
          <w:sz w:val="24"/>
          <w:szCs w:val="24"/>
        </w:rPr>
        <w:t>2017</w:t>
      </w:r>
      <w:r w:rsidRPr="006526A0">
        <w:rPr>
          <w:rFonts w:ascii="Times New Roman" w:hAnsi="Times New Roman" w:cs="Times New Roman"/>
          <w:sz w:val="24"/>
          <w:szCs w:val="24"/>
        </w:rPr>
        <w:t xml:space="preserve">). </w:t>
      </w:r>
      <w:r w:rsidRPr="006526A0">
        <w:rPr>
          <w:rFonts w:ascii="Times New Roman" w:hAnsi="Times New Roman" w:cs="Times New Roman"/>
          <w:i/>
          <w:iCs/>
          <w:sz w:val="24"/>
          <w:szCs w:val="24"/>
        </w:rPr>
        <w:t>Quarterly Labour Market Outlook</w:t>
      </w:r>
      <w:r w:rsidRPr="006526A0">
        <w:rPr>
          <w:rFonts w:ascii="Times New Roman" w:hAnsi="Times New Roman" w:cs="Times New Roman"/>
          <w:sz w:val="24"/>
          <w:szCs w:val="24"/>
        </w:rPr>
        <w:t xml:space="preserve">, </w:t>
      </w:r>
      <w:r w:rsidR="00BB43E5">
        <w:rPr>
          <w:rFonts w:ascii="Times New Roman" w:hAnsi="Times New Roman" w:cs="Times New Roman"/>
          <w:sz w:val="24"/>
          <w:szCs w:val="24"/>
        </w:rPr>
        <w:t>Retrieved on 20</w:t>
      </w:r>
      <w:r w:rsidR="00BB43E5" w:rsidRPr="00BB43E5">
        <w:rPr>
          <w:rFonts w:ascii="Times New Roman" w:hAnsi="Times New Roman" w:cs="Times New Roman"/>
          <w:sz w:val="24"/>
          <w:szCs w:val="24"/>
          <w:vertAlign w:val="superscript"/>
        </w:rPr>
        <w:t>th</w:t>
      </w:r>
      <w:r w:rsidR="00BB43E5">
        <w:rPr>
          <w:rFonts w:ascii="Times New Roman" w:hAnsi="Times New Roman" w:cs="Times New Roman"/>
          <w:sz w:val="24"/>
          <w:szCs w:val="24"/>
        </w:rPr>
        <w:t xml:space="preserve"> April 2017 from: </w:t>
      </w:r>
      <w:hyperlink r:id="rId15" w:history="1">
        <w:r w:rsidR="00BB43E5" w:rsidRPr="006C25C7">
          <w:rPr>
            <w:rStyle w:val="Hyperlink"/>
            <w:rFonts w:ascii="Times New Roman" w:hAnsi="Times New Roman" w:cs="Times New Roman"/>
            <w:sz w:val="24"/>
            <w:szCs w:val="24"/>
          </w:rPr>
          <w:t>https://www.cipd.co.uk/Images/labour-market-outlook_2017-winter-2016-17_tcm18-18238.pdf</w:t>
        </w:r>
      </w:hyperlink>
      <w:r w:rsidR="00BB43E5">
        <w:rPr>
          <w:rFonts w:ascii="Times New Roman" w:hAnsi="Times New Roman" w:cs="Times New Roman"/>
          <w:sz w:val="24"/>
          <w:szCs w:val="24"/>
        </w:rPr>
        <w:t xml:space="preserve"> </w:t>
      </w:r>
      <w:r w:rsidRPr="006526A0">
        <w:rPr>
          <w:rFonts w:ascii="Times New Roman" w:hAnsi="Times New Roman" w:cs="Times New Roman"/>
          <w:sz w:val="24"/>
          <w:szCs w:val="24"/>
        </w:rPr>
        <w:t>London: Chartered Institute of Personnel and Development.</w:t>
      </w:r>
    </w:p>
    <w:p w14:paraId="388EC6C5"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Dalla, E., Chatzoudes, D., Karasavvoglou, A. (2013). </w:t>
      </w:r>
      <w:r w:rsidRPr="006526A0">
        <w:rPr>
          <w:rFonts w:ascii="Times New Roman" w:hAnsi="Times New Roman" w:cs="Times New Roman"/>
          <w:i/>
          <w:iCs/>
          <w:sz w:val="24"/>
          <w:szCs w:val="24"/>
        </w:rPr>
        <w:t xml:space="preserve">The ‘brain-drain’ phenomenon: measuring the intention of young Greek scientists to migrate abroad. </w:t>
      </w:r>
      <w:r w:rsidRPr="006526A0">
        <w:rPr>
          <w:rFonts w:ascii="Times New Roman" w:hAnsi="Times New Roman" w:cs="Times New Roman"/>
          <w:sz w:val="24"/>
          <w:szCs w:val="24"/>
        </w:rPr>
        <w:t xml:space="preserve">Retrieved from World scientific and Engineering Academy and Society, available at: </w:t>
      </w:r>
      <w:hyperlink r:id="rId16" w:history="1">
        <w:r w:rsidRPr="006526A0">
          <w:rPr>
            <w:rStyle w:val="Hyperlink"/>
            <w:rFonts w:ascii="Times New Roman" w:hAnsi="Times New Roman" w:cs="Times New Roman"/>
            <w:sz w:val="24"/>
            <w:szCs w:val="24"/>
          </w:rPr>
          <w:t>http://www.wseas.us/e-library/conferences/2013/Chania/ICFA/ICFA-41.pdf</w:t>
        </w:r>
      </w:hyperlink>
      <w:r w:rsidRPr="006526A0">
        <w:rPr>
          <w:rFonts w:ascii="Times New Roman" w:hAnsi="Times New Roman" w:cs="Times New Roman"/>
          <w:sz w:val="24"/>
          <w:szCs w:val="24"/>
        </w:rPr>
        <w:t xml:space="preserve"> [Assessed on 4th January 2017].</w:t>
      </w:r>
    </w:p>
    <w:p w14:paraId="586C3AD2"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David, Al. Barwinska-Malajowicz, A. and Coenen, F. (2012). From brain drain to brain exchange: How to use better highly skilled workers. </w:t>
      </w:r>
      <w:r w:rsidRPr="006526A0">
        <w:rPr>
          <w:rFonts w:ascii="Times New Roman" w:hAnsi="Times New Roman" w:cs="Times New Roman"/>
          <w:i/>
          <w:sz w:val="24"/>
          <w:szCs w:val="24"/>
        </w:rPr>
        <w:t xml:space="preserve">Jednolity Rynek Europejski </w:t>
      </w:r>
      <w:r w:rsidRPr="006526A0">
        <w:rPr>
          <w:rFonts w:ascii="Times New Roman" w:hAnsi="Times New Roman" w:cs="Times New Roman"/>
          <w:sz w:val="24"/>
          <w:szCs w:val="24"/>
        </w:rPr>
        <w:t>(In English), 5(216): 25-35.</w:t>
      </w:r>
    </w:p>
    <w:p w14:paraId="4B198087" w14:textId="61C1B826" w:rsidR="009F126F"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Dench, S., Hurstfield, J., Hill, D. and Akroyd, K. (2006). ‘Employers’ Use of Migrant Labour’. Home Office Online Report 04/06, London: Home Office.</w:t>
      </w:r>
    </w:p>
    <w:p w14:paraId="5FC27746" w14:textId="4266A0BB" w:rsidR="000F5042" w:rsidRPr="006526A0" w:rsidRDefault="006A5EE5" w:rsidP="006526A0">
      <w:pPr>
        <w:autoSpaceDE w:val="0"/>
        <w:autoSpaceDN w:val="0"/>
        <w:adjustRightInd w:val="0"/>
        <w:spacing w:after="0" w:line="240" w:lineRule="auto"/>
        <w:ind w:firstLine="284"/>
        <w:jc w:val="both"/>
        <w:rPr>
          <w:rFonts w:ascii="Times New Roman" w:hAnsi="Times New Roman" w:cs="Times New Roman"/>
          <w:sz w:val="24"/>
          <w:szCs w:val="24"/>
        </w:rPr>
      </w:pPr>
      <w:hyperlink r:id="rId17" w:history="1">
        <w:r w:rsidR="000F5042" w:rsidRPr="000F5042">
          <w:rPr>
            <w:rStyle w:val="Hyperlink"/>
            <w:rFonts w:ascii="Times New Roman" w:hAnsi="Times New Roman" w:cs="Times New Roman"/>
            <w:color w:val="auto"/>
            <w:spacing w:val="5"/>
            <w:sz w:val="24"/>
            <w:szCs w:val="24"/>
            <w:u w:val="none"/>
            <w:lang w:val="en"/>
          </w:rPr>
          <w:t>D’Netto</w:t>
        </w:r>
      </w:hyperlink>
      <w:r w:rsidR="000F5042" w:rsidRPr="000F5042">
        <w:rPr>
          <w:rFonts w:ascii="Times New Roman" w:hAnsi="Times New Roman" w:cs="Times New Roman"/>
          <w:spacing w:val="5"/>
          <w:sz w:val="24"/>
          <w:szCs w:val="24"/>
          <w:lang w:val="en"/>
        </w:rPr>
        <w:t xml:space="preserve">, B. and </w:t>
      </w:r>
      <w:hyperlink r:id="rId18" w:history="1">
        <w:r w:rsidR="000F5042" w:rsidRPr="000F5042">
          <w:rPr>
            <w:rStyle w:val="Hyperlink"/>
            <w:rFonts w:ascii="Times New Roman" w:hAnsi="Times New Roman" w:cs="Times New Roman"/>
            <w:color w:val="auto"/>
            <w:spacing w:val="5"/>
            <w:sz w:val="24"/>
            <w:szCs w:val="24"/>
            <w:u w:val="none"/>
            <w:lang w:val="en"/>
          </w:rPr>
          <w:t>Sohal</w:t>
        </w:r>
      </w:hyperlink>
      <w:r w:rsidR="000F5042" w:rsidRPr="000F5042">
        <w:rPr>
          <w:rFonts w:ascii="Times New Roman" w:hAnsi="Times New Roman" w:cs="Times New Roman"/>
          <w:spacing w:val="5"/>
          <w:sz w:val="24"/>
          <w:szCs w:val="24"/>
          <w:lang w:val="en"/>
        </w:rPr>
        <w:t>, A.S. (1999). Human resource practices and workforce</w:t>
      </w:r>
      <w:r w:rsidR="000F5042" w:rsidRPr="00CB3DC2">
        <w:rPr>
          <w:rFonts w:ascii="Times New Roman" w:hAnsi="Times New Roman" w:cs="Times New Roman"/>
          <w:spacing w:val="5"/>
          <w:sz w:val="24"/>
          <w:szCs w:val="24"/>
          <w:lang w:val="en"/>
        </w:rPr>
        <w:t xml:space="preserve"> div</w:t>
      </w:r>
      <w:r w:rsidR="000F5042">
        <w:rPr>
          <w:rFonts w:ascii="Times New Roman" w:hAnsi="Times New Roman" w:cs="Times New Roman"/>
          <w:spacing w:val="5"/>
          <w:sz w:val="24"/>
          <w:szCs w:val="24"/>
          <w:lang w:val="en"/>
        </w:rPr>
        <w:t>ersity: an empirical assessment.</w:t>
      </w:r>
      <w:r w:rsidR="000F5042" w:rsidRPr="00CB3DC2">
        <w:rPr>
          <w:rFonts w:ascii="Times New Roman" w:hAnsi="Times New Roman" w:cs="Times New Roman"/>
          <w:spacing w:val="5"/>
          <w:sz w:val="24"/>
          <w:szCs w:val="24"/>
          <w:lang w:val="en"/>
        </w:rPr>
        <w:t xml:space="preserve"> </w:t>
      </w:r>
      <w:r w:rsidR="000F5042" w:rsidRPr="00CB3DC2">
        <w:rPr>
          <w:rFonts w:ascii="Times New Roman" w:hAnsi="Times New Roman" w:cs="Times New Roman"/>
          <w:i/>
          <w:spacing w:val="5"/>
          <w:sz w:val="24"/>
          <w:szCs w:val="24"/>
          <w:lang w:val="en"/>
        </w:rPr>
        <w:t>International Journal of Manpower</w:t>
      </w:r>
      <w:r w:rsidR="000F5042" w:rsidRPr="00CB3DC2">
        <w:rPr>
          <w:rFonts w:ascii="Times New Roman" w:hAnsi="Times New Roman" w:cs="Times New Roman"/>
          <w:spacing w:val="5"/>
          <w:sz w:val="24"/>
          <w:szCs w:val="24"/>
          <w:lang w:val="en"/>
        </w:rPr>
        <w:t>, 20</w:t>
      </w:r>
      <w:r w:rsidR="000F5042">
        <w:rPr>
          <w:rFonts w:ascii="Times New Roman" w:hAnsi="Times New Roman" w:cs="Times New Roman"/>
          <w:spacing w:val="5"/>
          <w:sz w:val="24"/>
          <w:szCs w:val="24"/>
          <w:lang w:val="en"/>
        </w:rPr>
        <w:t>(</w:t>
      </w:r>
      <w:r w:rsidR="000F5042" w:rsidRPr="00CB3DC2">
        <w:rPr>
          <w:rFonts w:ascii="Times New Roman" w:hAnsi="Times New Roman" w:cs="Times New Roman"/>
          <w:spacing w:val="5"/>
          <w:sz w:val="24"/>
          <w:szCs w:val="24"/>
          <w:lang w:val="en"/>
        </w:rPr>
        <w:t>8</w:t>
      </w:r>
      <w:r w:rsidR="000F5042">
        <w:rPr>
          <w:rFonts w:ascii="Times New Roman" w:hAnsi="Times New Roman" w:cs="Times New Roman"/>
          <w:spacing w:val="5"/>
          <w:sz w:val="24"/>
          <w:szCs w:val="24"/>
          <w:lang w:val="en"/>
        </w:rPr>
        <w:t xml:space="preserve">): </w:t>
      </w:r>
      <w:r w:rsidR="000F5042" w:rsidRPr="00CB3DC2">
        <w:rPr>
          <w:rFonts w:ascii="Times New Roman" w:hAnsi="Times New Roman" w:cs="Times New Roman"/>
          <w:spacing w:val="5"/>
          <w:sz w:val="24"/>
          <w:szCs w:val="24"/>
          <w:lang w:val="en"/>
        </w:rPr>
        <w:t>530-547</w:t>
      </w:r>
      <w:r w:rsidR="000F5042">
        <w:rPr>
          <w:rFonts w:ascii="Times New Roman" w:hAnsi="Times New Roman" w:cs="Times New Roman"/>
          <w:spacing w:val="5"/>
          <w:sz w:val="24"/>
          <w:szCs w:val="24"/>
          <w:lang w:val="en"/>
        </w:rPr>
        <w:t>.</w:t>
      </w:r>
    </w:p>
    <w:p w14:paraId="2C6486A6" w14:textId="6F26B38A"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lastRenderedPageBreak/>
        <w:t>D</w:t>
      </w:r>
      <w:r>
        <w:rPr>
          <w:rFonts w:ascii="Times New Roman" w:hAnsi="Times New Roman" w:cs="Times New Roman"/>
          <w:sz w:val="24"/>
          <w:szCs w:val="24"/>
        </w:rPr>
        <w:t>undon, T., González-Pérez, M.</w:t>
      </w:r>
      <w:r w:rsidRPr="006526A0">
        <w:rPr>
          <w:rFonts w:ascii="Times New Roman" w:hAnsi="Times New Roman" w:cs="Times New Roman"/>
          <w:sz w:val="24"/>
          <w:szCs w:val="24"/>
        </w:rPr>
        <w:t xml:space="preserve">A. and McDonough, T. (2007). ‘Bitten by the Celtic Tiger: immigrant workers and industrial relations in the new ‘glocolized’ Ireland’. </w:t>
      </w:r>
      <w:r w:rsidRPr="006526A0">
        <w:rPr>
          <w:rFonts w:ascii="Times New Roman" w:hAnsi="Times New Roman" w:cs="Times New Roman"/>
          <w:i/>
          <w:iCs/>
          <w:sz w:val="24"/>
          <w:szCs w:val="24"/>
        </w:rPr>
        <w:t xml:space="preserve">Economic and Industrial Democracy, </w:t>
      </w:r>
      <w:r w:rsidRPr="006526A0">
        <w:rPr>
          <w:rFonts w:ascii="Times New Roman" w:hAnsi="Times New Roman" w:cs="Times New Roman"/>
          <w:sz w:val="24"/>
          <w:szCs w:val="24"/>
        </w:rPr>
        <w:t>28</w:t>
      </w:r>
      <w:r w:rsidR="00493A55">
        <w:rPr>
          <w:rFonts w:ascii="Times New Roman" w:hAnsi="Times New Roman" w:cs="Times New Roman"/>
          <w:sz w:val="24"/>
          <w:szCs w:val="24"/>
        </w:rPr>
        <w:t>(</w:t>
      </w:r>
      <w:r w:rsidRPr="006526A0">
        <w:rPr>
          <w:rFonts w:ascii="Times New Roman" w:hAnsi="Times New Roman" w:cs="Times New Roman"/>
          <w:sz w:val="24"/>
          <w:szCs w:val="24"/>
        </w:rPr>
        <w:t>4</w:t>
      </w:r>
      <w:r w:rsidR="00493A55">
        <w:rPr>
          <w:rFonts w:ascii="Times New Roman" w:hAnsi="Times New Roman" w:cs="Times New Roman"/>
          <w:sz w:val="24"/>
          <w:szCs w:val="24"/>
        </w:rPr>
        <w:t xml:space="preserve">): </w:t>
      </w:r>
      <w:r w:rsidRPr="006526A0">
        <w:rPr>
          <w:rFonts w:ascii="Times New Roman" w:hAnsi="Times New Roman" w:cs="Times New Roman"/>
          <w:sz w:val="24"/>
          <w:szCs w:val="24"/>
        </w:rPr>
        <w:t>501</w:t>
      </w:r>
      <w:r w:rsidR="00493A55">
        <w:rPr>
          <w:rFonts w:ascii="Times New Roman" w:hAnsi="Times New Roman" w:cs="Times New Roman"/>
          <w:sz w:val="24"/>
          <w:szCs w:val="24"/>
        </w:rPr>
        <w:t>-</w:t>
      </w:r>
      <w:r w:rsidRPr="006526A0">
        <w:rPr>
          <w:rFonts w:ascii="Times New Roman" w:hAnsi="Times New Roman" w:cs="Times New Roman"/>
          <w:sz w:val="24"/>
          <w:szCs w:val="24"/>
        </w:rPr>
        <w:t>522.</w:t>
      </w:r>
    </w:p>
    <w:p w14:paraId="278E4C59"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Eurostat, (2017). </w:t>
      </w:r>
      <w:r w:rsidRPr="006526A0">
        <w:rPr>
          <w:rFonts w:ascii="Times New Roman" w:hAnsi="Times New Roman" w:cs="Times New Roman"/>
          <w:i/>
          <w:iCs/>
          <w:sz w:val="24"/>
          <w:szCs w:val="24"/>
        </w:rPr>
        <w:t>Unemployment Statistics</w:t>
      </w:r>
      <w:r w:rsidRPr="006526A0">
        <w:rPr>
          <w:rFonts w:ascii="Times New Roman" w:hAnsi="Times New Roman" w:cs="Times New Roman"/>
          <w:sz w:val="24"/>
          <w:szCs w:val="24"/>
        </w:rPr>
        <w:t xml:space="preserve">. Retrieved from Eurostats Statistics, available at: </w:t>
      </w:r>
      <w:hyperlink r:id="rId19" w:history="1">
        <w:r w:rsidRPr="006526A0">
          <w:rPr>
            <w:rStyle w:val="Hyperlink"/>
            <w:rFonts w:ascii="Times New Roman" w:hAnsi="Times New Roman" w:cs="Times New Roman"/>
            <w:sz w:val="24"/>
            <w:szCs w:val="24"/>
          </w:rPr>
          <w:t>http://ec.europa.eu/eurostat/statistics-explained/index.php/Unemployment_statistics</w:t>
        </w:r>
      </w:hyperlink>
      <w:r w:rsidRPr="006526A0">
        <w:rPr>
          <w:rFonts w:ascii="Times New Roman" w:hAnsi="Times New Roman" w:cs="Times New Roman"/>
          <w:sz w:val="24"/>
          <w:szCs w:val="24"/>
        </w:rPr>
        <w:t xml:space="preserve"> [Assessed on 17th March 2017].</w:t>
      </w:r>
    </w:p>
    <w:p w14:paraId="1913B519"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Ewers, M.C. (2007). Migrants, markets and multinationals: competition among world cities for the highly skilled. </w:t>
      </w:r>
      <w:r w:rsidRPr="006526A0">
        <w:rPr>
          <w:rFonts w:ascii="Times New Roman" w:hAnsi="Times New Roman" w:cs="Times New Roman"/>
          <w:i/>
          <w:sz w:val="24"/>
          <w:szCs w:val="24"/>
        </w:rPr>
        <w:t>GeoJournal</w:t>
      </w:r>
      <w:r w:rsidRPr="006526A0">
        <w:rPr>
          <w:rFonts w:ascii="Times New Roman" w:hAnsi="Times New Roman" w:cs="Times New Roman"/>
          <w:sz w:val="24"/>
          <w:szCs w:val="24"/>
        </w:rPr>
        <w:t>, 68(2-3): 119-130.</w:t>
      </w:r>
    </w:p>
    <w:p w14:paraId="24172D7E"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Favell, A. (2014). </w:t>
      </w:r>
      <w:r w:rsidRPr="006526A0">
        <w:rPr>
          <w:rFonts w:ascii="Times New Roman" w:hAnsi="Times New Roman" w:cs="Times New Roman"/>
          <w:i/>
          <w:sz w:val="24"/>
          <w:szCs w:val="24"/>
        </w:rPr>
        <w:t>Immigration, Integration and Mobility: New Agendas in Migration Studies</w:t>
      </w:r>
      <w:r w:rsidRPr="006526A0">
        <w:rPr>
          <w:rFonts w:ascii="Times New Roman" w:hAnsi="Times New Roman" w:cs="Times New Roman"/>
          <w:sz w:val="24"/>
          <w:szCs w:val="24"/>
        </w:rPr>
        <w:t xml:space="preserve">. Retrieved from ECPR website, available at: </w:t>
      </w:r>
      <w:hyperlink r:id="rId20" w:history="1">
        <w:r w:rsidRPr="006526A0">
          <w:rPr>
            <w:rStyle w:val="Hyperlink"/>
            <w:rFonts w:ascii="Times New Roman" w:hAnsi="Times New Roman" w:cs="Times New Roman"/>
            <w:sz w:val="24"/>
            <w:szCs w:val="24"/>
          </w:rPr>
          <w:t>http://press.ecpr.eu/documents/sampleChapters/9781907301728.pdf</w:t>
        </w:r>
      </w:hyperlink>
      <w:r w:rsidRPr="006526A0">
        <w:rPr>
          <w:rFonts w:ascii="Times New Roman" w:hAnsi="Times New Roman" w:cs="Times New Roman"/>
          <w:sz w:val="24"/>
          <w:szCs w:val="24"/>
        </w:rPr>
        <w:t xml:space="preserve"> [Assessed on 12th March 2017].</w:t>
      </w:r>
    </w:p>
    <w:p w14:paraId="2838F119" w14:textId="77777777"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 xml:space="preserve">Fellini, L., Ferro, A. and </w:t>
      </w:r>
      <w:r>
        <w:rPr>
          <w:rFonts w:ascii="Times New Roman" w:hAnsi="Times New Roman" w:cs="Times New Roman"/>
          <w:sz w:val="24"/>
          <w:szCs w:val="24"/>
        </w:rPr>
        <w:t xml:space="preserve">Fullin, G. (2007). </w:t>
      </w:r>
      <w:r w:rsidRPr="006526A0">
        <w:rPr>
          <w:rFonts w:ascii="Times New Roman" w:hAnsi="Times New Roman" w:cs="Times New Roman"/>
          <w:sz w:val="24"/>
          <w:szCs w:val="24"/>
        </w:rPr>
        <w:t>Recruitment processes and labour mobility: the</w:t>
      </w:r>
      <w:r>
        <w:rPr>
          <w:rFonts w:ascii="Times New Roman" w:hAnsi="Times New Roman" w:cs="Times New Roman"/>
          <w:sz w:val="24"/>
          <w:szCs w:val="24"/>
        </w:rPr>
        <w:t xml:space="preserve"> construction industry in Europe</w:t>
      </w:r>
      <w:r w:rsidRPr="006526A0">
        <w:rPr>
          <w:rFonts w:ascii="Times New Roman" w:hAnsi="Times New Roman" w:cs="Times New Roman"/>
          <w:sz w:val="24"/>
          <w:szCs w:val="24"/>
        </w:rPr>
        <w:t xml:space="preserve">. </w:t>
      </w:r>
      <w:r w:rsidRPr="006526A0">
        <w:rPr>
          <w:rFonts w:ascii="Times New Roman" w:hAnsi="Times New Roman" w:cs="Times New Roman"/>
          <w:i/>
          <w:iCs/>
          <w:sz w:val="24"/>
          <w:szCs w:val="24"/>
        </w:rPr>
        <w:t xml:space="preserve">Work, Employment and Society, </w:t>
      </w:r>
      <w:r w:rsidRPr="006526A0">
        <w:rPr>
          <w:rFonts w:ascii="Times New Roman" w:hAnsi="Times New Roman" w:cs="Times New Roman"/>
          <w:sz w:val="24"/>
          <w:szCs w:val="24"/>
        </w:rPr>
        <w:t>21</w:t>
      </w:r>
      <w:r>
        <w:rPr>
          <w:rFonts w:ascii="Times New Roman" w:hAnsi="Times New Roman" w:cs="Times New Roman"/>
          <w:sz w:val="24"/>
          <w:szCs w:val="24"/>
        </w:rPr>
        <w:t>(</w:t>
      </w:r>
      <w:r w:rsidRPr="006526A0">
        <w:rPr>
          <w:rFonts w:ascii="Times New Roman" w:hAnsi="Times New Roman" w:cs="Times New Roman"/>
          <w:sz w:val="24"/>
          <w:szCs w:val="24"/>
        </w:rPr>
        <w:t>2</w:t>
      </w:r>
      <w:r>
        <w:rPr>
          <w:rFonts w:ascii="Times New Roman" w:hAnsi="Times New Roman" w:cs="Times New Roman"/>
          <w:sz w:val="24"/>
          <w:szCs w:val="24"/>
        </w:rPr>
        <w:t>): 277-</w:t>
      </w:r>
      <w:r w:rsidRPr="006526A0">
        <w:rPr>
          <w:rFonts w:ascii="Times New Roman" w:hAnsi="Times New Roman" w:cs="Times New Roman"/>
          <w:sz w:val="24"/>
          <w:szCs w:val="24"/>
        </w:rPr>
        <w:t>298.</w:t>
      </w:r>
    </w:p>
    <w:p w14:paraId="2B861A02"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eastAsiaTheme="minorEastAsia" w:hAnsi="Times New Roman" w:cs="Times New Roman"/>
          <w:sz w:val="24"/>
          <w:szCs w:val="24"/>
          <w:lang w:eastAsia="zh-CN"/>
        </w:rPr>
        <w:t xml:space="preserve">Gandz, J. (2006). Talent development: the architecture of a talent pipeline that works’, </w:t>
      </w:r>
      <w:r w:rsidRPr="006526A0">
        <w:rPr>
          <w:rFonts w:ascii="Times New Roman" w:eastAsiaTheme="minorEastAsia" w:hAnsi="Times New Roman" w:cs="Times New Roman"/>
          <w:i/>
          <w:iCs/>
          <w:sz w:val="24"/>
          <w:szCs w:val="24"/>
          <w:lang w:eastAsia="zh-CN"/>
        </w:rPr>
        <w:t>Ivey Business Journal</w:t>
      </w:r>
      <w:r w:rsidRPr="006526A0">
        <w:rPr>
          <w:rFonts w:ascii="Times New Roman" w:eastAsiaTheme="minorEastAsia" w:hAnsi="Times New Roman" w:cs="Times New Roman"/>
          <w:sz w:val="24"/>
          <w:szCs w:val="24"/>
          <w:lang w:eastAsia="zh-CN"/>
        </w:rPr>
        <w:t>, January-February, pp.1-4, ISSN 1481-8248.</w:t>
      </w:r>
    </w:p>
    <w:p w14:paraId="52A094F8"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Giousmpasoglou, C. (2014). Greek management and culture. </w:t>
      </w:r>
      <w:r w:rsidRPr="006526A0">
        <w:rPr>
          <w:rFonts w:ascii="Times New Roman" w:hAnsi="Times New Roman" w:cs="Times New Roman"/>
          <w:i/>
          <w:iCs/>
          <w:sz w:val="24"/>
          <w:szCs w:val="24"/>
        </w:rPr>
        <w:t>European Journal of Cross-Cultural Competence and Management</w:t>
      </w:r>
      <w:r w:rsidRPr="006526A0">
        <w:rPr>
          <w:rFonts w:ascii="Times New Roman" w:hAnsi="Times New Roman" w:cs="Times New Roman"/>
          <w:sz w:val="24"/>
          <w:szCs w:val="24"/>
        </w:rPr>
        <w:t>, 3(1): 51-67.</w:t>
      </w:r>
    </w:p>
    <w:p w14:paraId="757FCA8D" w14:textId="471364D5" w:rsidR="009F126F"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Giousmpasoglou, C., Marinakou, E. and Paliktzoglou, V. (2016). Economic Crisis and Higher Education in Greece. In Ordóñez de Pablos, P. and Tennyson, R. (Eds) </w:t>
      </w:r>
      <w:r w:rsidRPr="006526A0">
        <w:rPr>
          <w:rFonts w:ascii="Times New Roman" w:hAnsi="Times New Roman" w:cs="Times New Roman"/>
          <w:i/>
          <w:iCs/>
          <w:sz w:val="24"/>
          <w:szCs w:val="24"/>
        </w:rPr>
        <w:t>Impact of economic crisis on education and the next-generation workforce</w:t>
      </w:r>
      <w:r w:rsidRPr="006526A0">
        <w:rPr>
          <w:rFonts w:ascii="Times New Roman" w:hAnsi="Times New Roman" w:cs="Times New Roman"/>
          <w:sz w:val="24"/>
          <w:szCs w:val="24"/>
        </w:rPr>
        <w:t>. Hershey: IGI Global, 120-149.</w:t>
      </w:r>
    </w:p>
    <w:p w14:paraId="4E102881" w14:textId="5CEEB0A2" w:rsidR="00DB7D52" w:rsidRPr="006526A0" w:rsidRDefault="00DB7D52" w:rsidP="006526A0">
      <w:pPr>
        <w:spacing w:after="0" w:line="240" w:lineRule="auto"/>
        <w:ind w:firstLine="284"/>
        <w:contextualSpacing/>
        <w:jc w:val="both"/>
        <w:rPr>
          <w:rFonts w:ascii="Times New Roman" w:hAnsi="Times New Roman" w:cs="Times New Roman"/>
          <w:sz w:val="24"/>
          <w:szCs w:val="24"/>
        </w:rPr>
      </w:pPr>
      <w:r w:rsidRPr="00CB3DC2">
        <w:rPr>
          <w:rFonts w:ascii="Times New Roman" w:hAnsi="Times New Roman" w:cs="Times New Roman"/>
          <w:sz w:val="24"/>
          <w:szCs w:val="24"/>
        </w:rPr>
        <w:t>Goodman, J., Fields</w:t>
      </w:r>
      <w:r>
        <w:rPr>
          <w:rFonts w:ascii="Times New Roman" w:hAnsi="Times New Roman" w:cs="Times New Roman"/>
          <w:sz w:val="24"/>
          <w:szCs w:val="24"/>
        </w:rPr>
        <w:t xml:space="preserve">, D., and Blum, T. (2003). </w:t>
      </w:r>
      <w:r w:rsidRPr="00CB3DC2">
        <w:rPr>
          <w:rFonts w:ascii="Times New Roman" w:hAnsi="Times New Roman" w:cs="Times New Roman"/>
          <w:sz w:val="24"/>
          <w:szCs w:val="24"/>
        </w:rPr>
        <w:t xml:space="preserve">Cracks in the Glass Ceiling: In What Kind of Organizations Do Women Make it to the Top?, </w:t>
      </w:r>
      <w:r w:rsidRPr="00CB3DC2">
        <w:rPr>
          <w:rFonts w:ascii="Times New Roman" w:hAnsi="Times New Roman" w:cs="Times New Roman"/>
          <w:i/>
          <w:sz w:val="24"/>
          <w:szCs w:val="24"/>
        </w:rPr>
        <w:t>Group and Organization Management</w:t>
      </w:r>
      <w:r w:rsidRPr="00CB3DC2">
        <w:rPr>
          <w:rFonts w:ascii="Times New Roman" w:hAnsi="Times New Roman" w:cs="Times New Roman"/>
          <w:sz w:val="24"/>
          <w:szCs w:val="24"/>
        </w:rPr>
        <w:t>, 28</w:t>
      </w:r>
      <w:r>
        <w:rPr>
          <w:rFonts w:ascii="Times New Roman" w:hAnsi="Times New Roman" w:cs="Times New Roman"/>
          <w:sz w:val="24"/>
          <w:szCs w:val="24"/>
        </w:rPr>
        <w:t>(</w:t>
      </w:r>
      <w:r w:rsidRPr="00CB3DC2">
        <w:rPr>
          <w:rFonts w:ascii="Times New Roman" w:hAnsi="Times New Roman" w:cs="Times New Roman"/>
          <w:sz w:val="24"/>
          <w:szCs w:val="24"/>
        </w:rPr>
        <w:t>4</w:t>
      </w:r>
      <w:r>
        <w:rPr>
          <w:rFonts w:ascii="Times New Roman" w:hAnsi="Times New Roman" w:cs="Times New Roman"/>
          <w:sz w:val="24"/>
          <w:szCs w:val="24"/>
        </w:rPr>
        <w:t>): 475-</w:t>
      </w:r>
      <w:r w:rsidRPr="00CB3DC2">
        <w:rPr>
          <w:rFonts w:ascii="Times New Roman" w:hAnsi="Times New Roman" w:cs="Times New Roman"/>
          <w:sz w:val="24"/>
          <w:szCs w:val="24"/>
        </w:rPr>
        <w:t>501.</w:t>
      </w:r>
    </w:p>
    <w:p w14:paraId="428A88F8"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Gropas, R. and Triantafyllidou, A. (2013). </w:t>
      </w:r>
      <w:r w:rsidRPr="006526A0">
        <w:rPr>
          <w:rFonts w:ascii="Times New Roman" w:hAnsi="Times New Roman" w:cs="Times New Roman"/>
          <w:i/>
          <w:iCs/>
          <w:sz w:val="24"/>
          <w:szCs w:val="24"/>
        </w:rPr>
        <w:t>Survey report: Emigrating in times of crisis. Highlights and new date from an e-survey on high-skilled emigrants from southern Europe and Ireland.</w:t>
      </w:r>
      <w:r w:rsidRPr="006526A0">
        <w:rPr>
          <w:rFonts w:ascii="Times New Roman" w:hAnsi="Times New Roman" w:cs="Times New Roman"/>
          <w:sz w:val="24"/>
          <w:szCs w:val="24"/>
        </w:rPr>
        <w:t xml:space="preserve"> Retrieved from European University Institute, available at: </w:t>
      </w:r>
      <w:hyperlink r:id="rId21" w:history="1">
        <w:r w:rsidRPr="006526A0">
          <w:rPr>
            <w:rStyle w:val="Hyperlink"/>
            <w:rFonts w:ascii="Times New Roman" w:hAnsi="Times New Roman" w:cs="Times New Roman"/>
            <w:sz w:val="24"/>
            <w:szCs w:val="24"/>
          </w:rPr>
          <w:t>http://globalgovernanceprogramme.eui.eu/wp-content/uploads/2014/03/SURVEY-REPORT-Emigrating-in-times-of-crisis.pdf</w:t>
        </w:r>
      </w:hyperlink>
      <w:r w:rsidRPr="006526A0">
        <w:rPr>
          <w:rFonts w:ascii="Times New Roman" w:hAnsi="Times New Roman" w:cs="Times New Roman"/>
          <w:sz w:val="24"/>
          <w:szCs w:val="24"/>
        </w:rPr>
        <w:t xml:space="preserve"> [Assessed on 22nd December 2016].</w:t>
      </w:r>
    </w:p>
    <w:p w14:paraId="57B574C6" w14:textId="57385E14"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Gurria, A. (2011). </w:t>
      </w:r>
      <w:r w:rsidRPr="006526A0">
        <w:rPr>
          <w:rFonts w:ascii="Times New Roman" w:hAnsi="Times New Roman" w:cs="Times New Roman"/>
          <w:i/>
          <w:sz w:val="24"/>
          <w:szCs w:val="24"/>
        </w:rPr>
        <w:t>Professional mobility and migrants’ integration</w:t>
      </w:r>
      <w:r w:rsidRPr="006526A0">
        <w:rPr>
          <w:rFonts w:ascii="Times New Roman" w:hAnsi="Times New Roman" w:cs="Times New Roman"/>
          <w:sz w:val="24"/>
          <w:szCs w:val="24"/>
        </w:rPr>
        <w:t xml:space="preserve">. Available at: </w:t>
      </w:r>
      <w:hyperlink r:id="rId22" w:history="1">
        <w:r w:rsidRPr="006526A0">
          <w:rPr>
            <w:rStyle w:val="Hyperlink"/>
            <w:rFonts w:ascii="Times New Roman" w:hAnsi="Times New Roman" w:cs="Times New Roman"/>
            <w:sz w:val="24"/>
            <w:szCs w:val="24"/>
          </w:rPr>
          <w:t>www.oecd.org/document/41/0,3746,en_21571361_44315115_48113897_1_1_1_1,00.html</w:t>
        </w:r>
      </w:hyperlink>
      <w:r w:rsidR="00493A55">
        <w:rPr>
          <w:rStyle w:val="Hyperlink"/>
          <w:rFonts w:ascii="Times New Roman" w:hAnsi="Times New Roman" w:cs="Times New Roman"/>
          <w:sz w:val="24"/>
          <w:szCs w:val="24"/>
        </w:rPr>
        <w:t xml:space="preserve"> </w:t>
      </w:r>
      <w:r w:rsidR="00493A55" w:rsidRPr="006526A0">
        <w:rPr>
          <w:rFonts w:ascii="Times New Roman" w:hAnsi="Times New Roman" w:cs="Times New Roman"/>
          <w:sz w:val="24"/>
          <w:szCs w:val="24"/>
        </w:rPr>
        <w:t>[Accessed 11</w:t>
      </w:r>
      <w:r w:rsidR="00493A55" w:rsidRPr="006526A0">
        <w:rPr>
          <w:rFonts w:ascii="Times New Roman" w:hAnsi="Times New Roman" w:cs="Times New Roman"/>
          <w:sz w:val="24"/>
          <w:szCs w:val="24"/>
          <w:vertAlign w:val="superscript"/>
        </w:rPr>
        <w:t>th</w:t>
      </w:r>
      <w:r w:rsidR="00493A55" w:rsidRPr="006526A0">
        <w:rPr>
          <w:rFonts w:ascii="Times New Roman" w:hAnsi="Times New Roman" w:cs="Times New Roman"/>
          <w:sz w:val="24"/>
          <w:szCs w:val="24"/>
        </w:rPr>
        <w:t xml:space="preserve"> February 2017].</w:t>
      </w:r>
    </w:p>
    <w:p w14:paraId="674DB23C"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Hadjimatheou, C. (2012). </w:t>
      </w:r>
      <w:r w:rsidRPr="006526A0">
        <w:rPr>
          <w:rFonts w:ascii="Times New Roman" w:hAnsi="Times New Roman" w:cs="Times New Roman"/>
          <w:i/>
          <w:iCs/>
          <w:sz w:val="24"/>
          <w:szCs w:val="24"/>
        </w:rPr>
        <w:t>Wasted talent: Greece’s young unemployed majority</w:t>
      </w:r>
      <w:r w:rsidRPr="006526A0">
        <w:rPr>
          <w:rFonts w:ascii="Times New Roman" w:hAnsi="Times New Roman" w:cs="Times New Roman"/>
          <w:sz w:val="24"/>
          <w:szCs w:val="24"/>
        </w:rPr>
        <w:t xml:space="preserve">, Retrieved from BBC news, available at: </w:t>
      </w:r>
      <w:hyperlink r:id="rId23" w:history="1">
        <w:r w:rsidRPr="006526A0">
          <w:rPr>
            <w:rStyle w:val="Hyperlink"/>
            <w:rFonts w:ascii="Times New Roman" w:hAnsi="Times New Roman" w:cs="Times New Roman"/>
            <w:sz w:val="24"/>
            <w:szCs w:val="24"/>
          </w:rPr>
          <w:t>www.bbc.co.uk/news/world-europe-17464528</w:t>
        </w:r>
      </w:hyperlink>
      <w:r w:rsidRPr="006526A0">
        <w:rPr>
          <w:rFonts w:ascii="Times New Roman" w:hAnsi="Times New Roman" w:cs="Times New Roman"/>
          <w:color w:val="0000FF"/>
          <w:sz w:val="24"/>
          <w:szCs w:val="24"/>
        </w:rPr>
        <w:t xml:space="preserve"> </w:t>
      </w:r>
      <w:r w:rsidRPr="006526A0">
        <w:rPr>
          <w:rFonts w:ascii="Times New Roman" w:hAnsi="Times New Roman" w:cs="Times New Roman"/>
          <w:sz w:val="24"/>
          <w:szCs w:val="24"/>
        </w:rPr>
        <w:t>[Assessed on 5th January 2017].</w:t>
      </w:r>
    </w:p>
    <w:p w14:paraId="2ABB8DA0"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Harvey, W. (2012). Brain circulation to the UK? Knowledge and investment inflows from highly skilled British expatriates in Vancouver. </w:t>
      </w:r>
      <w:r w:rsidRPr="006526A0">
        <w:rPr>
          <w:rFonts w:ascii="Times New Roman" w:hAnsi="Times New Roman" w:cs="Times New Roman"/>
          <w:i/>
          <w:sz w:val="24"/>
          <w:szCs w:val="24"/>
        </w:rPr>
        <w:t>Journal of Management Development</w:t>
      </w:r>
      <w:r w:rsidRPr="006526A0">
        <w:rPr>
          <w:rFonts w:ascii="Times New Roman" w:hAnsi="Times New Roman" w:cs="Times New Roman"/>
          <w:sz w:val="24"/>
          <w:szCs w:val="24"/>
        </w:rPr>
        <w:t>, 31(2): 173-186.</w:t>
      </w:r>
    </w:p>
    <w:p w14:paraId="78350731"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Herring, C. and Henderson, L. (2015). </w:t>
      </w:r>
      <w:r w:rsidRPr="006526A0">
        <w:rPr>
          <w:rFonts w:ascii="Times New Roman" w:hAnsi="Times New Roman" w:cs="Times New Roman"/>
          <w:i/>
          <w:sz w:val="24"/>
          <w:szCs w:val="24"/>
        </w:rPr>
        <w:t>Diversity in Organisations</w:t>
      </w:r>
      <w:r w:rsidRPr="006526A0">
        <w:rPr>
          <w:rFonts w:ascii="Times New Roman" w:hAnsi="Times New Roman" w:cs="Times New Roman"/>
          <w:sz w:val="24"/>
          <w:szCs w:val="24"/>
        </w:rPr>
        <w:t>. New York: Routledge, Taylor and Francis.</w:t>
      </w:r>
    </w:p>
    <w:p w14:paraId="2561DB5D" w14:textId="77777777" w:rsidR="009F126F" w:rsidRPr="006526A0" w:rsidRDefault="009F126F" w:rsidP="006526A0">
      <w:pPr>
        <w:spacing w:after="0" w:line="240" w:lineRule="auto"/>
        <w:ind w:firstLine="284"/>
        <w:contextualSpacing/>
        <w:jc w:val="both"/>
        <w:rPr>
          <w:rFonts w:ascii="Times New Roman" w:eastAsiaTheme="minorEastAsia" w:hAnsi="Times New Roman" w:cs="Times New Roman"/>
          <w:sz w:val="24"/>
          <w:szCs w:val="24"/>
          <w:lang w:eastAsia="zh-CN"/>
        </w:rPr>
      </w:pPr>
      <w:r w:rsidRPr="006526A0">
        <w:rPr>
          <w:rFonts w:ascii="Times New Roman" w:eastAsiaTheme="minorEastAsia" w:hAnsi="Times New Roman" w:cs="Times New Roman"/>
          <w:sz w:val="24"/>
          <w:szCs w:val="24"/>
          <w:lang w:val="de-DE" w:eastAsia="zh-CN"/>
        </w:rPr>
        <w:t xml:space="preserve">Hilderbrand, M. and Grindle, M. (1997). </w:t>
      </w:r>
      <w:r w:rsidRPr="006526A0">
        <w:rPr>
          <w:rFonts w:ascii="Times New Roman" w:eastAsiaTheme="minorEastAsia" w:hAnsi="Times New Roman" w:cs="Times New Roman"/>
          <w:sz w:val="24"/>
          <w:szCs w:val="24"/>
          <w:lang w:eastAsia="zh-CN"/>
        </w:rPr>
        <w:t xml:space="preserve">‘Building sustainable capacity in the public sector: what can be done?’’. In M. Grindle (Ed.), </w:t>
      </w:r>
      <w:r w:rsidRPr="006526A0">
        <w:rPr>
          <w:rFonts w:ascii="Times New Roman" w:eastAsiaTheme="minorEastAsia" w:hAnsi="Times New Roman" w:cs="Times New Roman"/>
          <w:i/>
          <w:iCs/>
          <w:sz w:val="24"/>
          <w:szCs w:val="24"/>
          <w:lang w:eastAsia="zh-CN"/>
        </w:rPr>
        <w:t>Getting Good Government: Capacity Building in the Public Sector of Developing Countries</w:t>
      </w:r>
      <w:r w:rsidRPr="006526A0">
        <w:rPr>
          <w:rFonts w:ascii="Times New Roman" w:eastAsiaTheme="minorEastAsia" w:hAnsi="Times New Roman" w:cs="Times New Roman"/>
          <w:sz w:val="24"/>
          <w:szCs w:val="24"/>
          <w:lang w:eastAsia="zh-CN"/>
        </w:rPr>
        <w:t>, Harvard Institute for International Development, Boston: 31–61.</w:t>
      </w:r>
    </w:p>
    <w:p w14:paraId="36293C4D" w14:textId="01AEA3EE" w:rsidR="009F126F"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Ifanti, A.A., Argyriou, A.A., Kalofonou, F.H. and Kalofonos, H.P. (2014). Physician’s brain drain in Greece: A perspective on the reasons why and how to address it. </w:t>
      </w:r>
      <w:r w:rsidRPr="006526A0">
        <w:rPr>
          <w:rFonts w:ascii="Times New Roman" w:hAnsi="Times New Roman" w:cs="Times New Roman"/>
          <w:i/>
          <w:iCs/>
          <w:sz w:val="24"/>
          <w:szCs w:val="24"/>
        </w:rPr>
        <w:t>Health Policy</w:t>
      </w:r>
      <w:r w:rsidRPr="006526A0">
        <w:rPr>
          <w:rFonts w:ascii="Times New Roman" w:hAnsi="Times New Roman" w:cs="Times New Roman"/>
          <w:sz w:val="24"/>
          <w:szCs w:val="24"/>
        </w:rPr>
        <w:t>, 117: 210-125</w:t>
      </w:r>
      <w:r w:rsidR="0024724A">
        <w:rPr>
          <w:rFonts w:ascii="Times New Roman" w:hAnsi="Times New Roman" w:cs="Times New Roman"/>
          <w:sz w:val="24"/>
          <w:szCs w:val="24"/>
        </w:rPr>
        <w:t>.</w:t>
      </w:r>
    </w:p>
    <w:p w14:paraId="23D382E2" w14:textId="0450E307" w:rsidR="0024724A" w:rsidRPr="006526A0" w:rsidRDefault="0024724A" w:rsidP="006526A0">
      <w:pPr>
        <w:spacing w:after="0" w:line="240" w:lineRule="auto"/>
        <w:ind w:firstLine="284"/>
        <w:contextualSpacing/>
        <w:jc w:val="both"/>
        <w:rPr>
          <w:rFonts w:ascii="Times New Roman" w:hAnsi="Times New Roman" w:cs="Times New Roman"/>
          <w:sz w:val="24"/>
          <w:szCs w:val="24"/>
        </w:rPr>
      </w:pPr>
      <w:r>
        <w:rPr>
          <w:rFonts w:ascii="TimesNewRomanPSMT" w:hAnsi="TimesNewRomanPSMT" w:cs="TimesNewRomanPSMT"/>
          <w:sz w:val="24"/>
          <w:szCs w:val="24"/>
        </w:rPr>
        <w:t xml:space="preserve">International Organization for Migration (2004). </w:t>
      </w:r>
      <w:r w:rsidRPr="004475C4">
        <w:rPr>
          <w:rFonts w:ascii="TimesNewRomanPSMT" w:hAnsi="TimesNewRomanPSMT" w:cs="TimesNewRomanPSMT"/>
          <w:i/>
          <w:sz w:val="24"/>
          <w:szCs w:val="24"/>
        </w:rPr>
        <w:t>IOM’s Contribution towards the</w:t>
      </w:r>
      <w:r>
        <w:rPr>
          <w:rFonts w:ascii="TimesNewRomanPSMT" w:hAnsi="TimesNewRomanPSMT" w:cs="TimesNewRomanPSMT"/>
          <w:i/>
          <w:sz w:val="24"/>
          <w:szCs w:val="24"/>
        </w:rPr>
        <w:t xml:space="preserve"> </w:t>
      </w:r>
      <w:r w:rsidRPr="004475C4">
        <w:rPr>
          <w:rFonts w:ascii="TimesNewRomanPSMT" w:hAnsi="TimesNewRomanPSMT" w:cs="TimesNewRomanPSMT"/>
          <w:i/>
          <w:sz w:val="24"/>
          <w:szCs w:val="24"/>
        </w:rPr>
        <w:t>High-Level Dialogue on International Migration and Development</w:t>
      </w:r>
      <w:r>
        <w:rPr>
          <w:rFonts w:ascii="TimesNewRomanPSMT" w:hAnsi="TimesNewRomanPSMT" w:cs="TimesNewRomanPSMT"/>
          <w:sz w:val="24"/>
          <w:szCs w:val="24"/>
        </w:rPr>
        <w:t xml:space="preserve">. Retrieved from </w:t>
      </w:r>
      <w:hyperlink r:id="rId24" w:history="1">
        <w:r w:rsidRPr="006C25C7">
          <w:rPr>
            <w:rStyle w:val="Hyperlink"/>
            <w:rFonts w:ascii="TimesNewRomanPSMT" w:hAnsi="TimesNewRomanPSMT" w:cs="TimesNewRomanPSMT"/>
            <w:sz w:val="24"/>
            <w:szCs w:val="24"/>
          </w:rPr>
          <w:t>http://www.un.org/esa/population/meetings/thirdcoord2004/P14_IOM.pdf</w:t>
        </w:r>
      </w:hyperlink>
      <w:r>
        <w:rPr>
          <w:rFonts w:ascii="TimesNewRomanPSMT" w:hAnsi="TimesNewRomanPSMT" w:cs="TimesNewRomanPSMT"/>
          <w:sz w:val="24"/>
          <w:szCs w:val="24"/>
        </w:rPr>
        <w:t xml:space="preserve"> [assessed 25th April 2017].</w:t>
      </w:r>
    </w:p>
    <w:p w14:paraId="66FB34AE"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Iravani, M.R. (2011). Brain drain problem: a review. </w:t>
      </w:r>
      <w:r w:rsidRPr="006526A0">
        <w:rPr>
          <w:rFonts w:ascii="Times New Roman" w:hAnsi="Times New Roman" w:cs="Times New Roman"/>
          <w:i/>
          <w:iCs/>
          <w:sz w:val="24"/>
          <w:szCs w:val="24"/>
        </w:rPr>
        <w:t>International Journal of Business and Social Science</w:t>
      </w:r>
      <w:r w:rsidRPr="006526A0">
        <w:rPr>
          <w:rFonts w:ascii="Times New Roman" w:hAnsi="Times New Roman" w:cs="Times New Roman"/>
          <w:sz w:val="24"/>
          <w:szCs w:val="24"/>
        </w:rPr>
        <w:t>, 2(15): 284-289.</w:t>
      </w:r>
    </w:p>
    <w:p w14:paraId="4E20E7D4" w14:textId="2E2247F4" w:rsidR="009F126F"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Iredale, R., Guo, F. and Rozario, S. (2003). </w:t>
      </w:r>
      <w:r w:rsidRPr="006526A0">
        <w:rPr>
          <w:rFonts w:ascii="Times New Roman" w:hAnsi="Times New Roman" w:cs="Times New Roman"/>
          <w:i/>
          <w:sz w:val="24"/>
          <w:szCs w:val="24"/>
        </w:rPr>
        <w:t>Return Migration in the Asia Pacific</w:t>
      </w:r>
      <w:r w:rsidRPr="006526A0">
        <w:rPr>
          <w:rFonts w:ascii="Times New Roman" w:hAnsi="Times New Roman" w:cs="Times New Roman"/>
          <w:sz w:val="24"/>
          <w:szCs w:val="24"/>
        </w:rPr>
        <w:t>, Edward Elgar, Cheltenham.</w:t>
      </w:r>
    </w:p>
    <w:p w14:paraId="42103D05" w14:textId="77777777" w:rsidR="0024724A" w:rsidRDefault="0024724A" w:rsidP="0024724A">
      <w:pPr>
        <w:spacing w:after="0" w:line="240" w:lineRule="auto"/>
        <w:ind w:firstLine="284"/>
        <w:contextualSpacing/>
        <w:jc w:val="both"/>
        <w:rPr>
          <w:rFonts w:ascii="Times New Roman" w:hAnsi="Times New Roman" w:cs="Times New Roman"/>
          <w:sz w:val="24"/>
          <w:szCs w:val="24"/>
        </w:rPr>
      </w:pPr>
      <w:r w:rsidRPr="004475C4">
        <w:rPr>
          <w:rFonts w:ascii="Times New Roman" w:hAnsi="Times New Roman" w:cs="Times New Roman"/>
          <w:sz w:val="24"/>
          <w:szCs w:val="24"/>
        </w:rPr>
        <w:t xml:space="preserve">Jennissen, R. (2006). </w:t>
      </w:r>
      <w:r w:rsidRPr="004475C4">
        <w:rPr>
          <w:rFonts w:ascii="Times New Roman" w:hAnsi="Times New Roman" w:cs="Times New Roman"/>
          <w:i/>
          <w:sz w:val="24"/>
          <w:szCs w:val="24"/>
        </w:rPr>
        <w:t>Economic Theories of International Migration and the Role of</w:t>
      </w:r>
      <w:r>
        <w:rPr>
          <w:rFonts w:ascii="Times New Roman" w:hAnsi="Times New Roman" w:cs="Times New Roman"/>
          <w:i/>
          <w:sz w:val="24"/>
          <w:szCs w:val="24"/>
        </w:rPr>
        <w:t xml:space="preserve"> </w:t>
      </w:r>
      <w:r w:rsidRPr="004475C4">
        <w:rPr>
          <w:rFonts w:ascii="Times New Roman" w:hAnsi="Times New Roman" w:cs="Times New Roman"/>
          <w:i/>
          <w:sz w:val="24"/>
          <w:szCs w:val="24"/>
        </w:rPr>
        <w:t>Immigration Policy. Research and Documentation Center of the Dutch Ministry</w:t>
      </w:r>
      <w:r>
        <w:rPr>
          <w:rFonts w:ascii="Times New Roman" w:hAnsi="Times New Roman" w:cs="Times New Roman"/>
          <w:i/>
          <w:sz w:val="24"/>
          <w:szCs w:val="24"/>
        </w:rPr>
        <w:t xml:space="preserve"> </w:t>
      </w:r>
      <w:r w:rsidRPr="004475C4">
        <w:rPr>
          <w:rFonts w:ascii="Times New Roman" w:hAnsi="Times New Roman" w:cs="Times New Roman"/>
          <w:i/>
          <w:sz w:val="24"/>
          <w:szCs w:val="24"/>
        </w:rPr>
        <w:t>of Justice and the Netherlands Interdisciplinary Democratic Institute</w:t>
      </w:r>
      <w:r w:rsidRPr="004475C4">
        <w:rPr>
          <w:rFonts w:ascii="Times New Roman" w:hAnsi="Times New Roman" w:cs="Times New Roman"/>
          <w:sz w:val="24"/>
          <w:szCs w:val="24"/>
        </w:rPr>
        <w:t>. Retrieved</w:t>
      </w:r>
      <w:r>
        <w:rPr>
          <w:rFonts w:ascii="Times New Roman" w:hAnsi="Times New Roman" w:cs="Times New Roman"/>
          <w:sz w:val="24"/>
          <w:szCs w:val="24"/>
        </w:rPr>
        <w:t xml:space="preserve"> </w:t>
      </w:r>
      <w:r w:rsidRPr="004475C4">
        <w:rPr>
          <w:rFonts w:ascii="Times New Roman" w:hAnsi="Times New Roman" w:cs="Times New Roman"/>
          <w:sz w:val="24"/>
          <w:szCs w:val="24"/>
        </w:rPr>
        <w:t xml:space="preserve">from </w:t>
      </w:r>
      <w:hyperlink r:id="rId25" w:history="1">
        <w:r w:rsidRPr="004475C4">
          <w:rPr>
            <w:rStyle w:val="Hyperlink"/>
            <w:rFonts w:ascii="Times New Roman" w:hAnsi="Times New Roman" w:cs="Times New Roman"/>
            <w:sz w:val="24"/>
            <w:szCs w:val="24"/>
          </w:rPr>
          <w:t>http://epc2006.princeton.edu/download.aspx?submissionId=60112</w:t>
        </w:r>
      </w:hyperlink>
      <w:r w:rsidRPr="004475C4">
        <w:rPr>
          <w:rFonts w:ascii="Times New Roman" w:hAnsi="Times New Roman" w:cs="Times New Roman"/>
          <w:sz w:val="24"/>
          <w:szCs w:val="24"/>
        </w:rPr>
        <w:t xml:space="preserve"> [assessed 20</w:t>
      </w:r>
      <w:r w:rsidRPr="004475C4">
        <w:rPr>
          <w:rFonts w:ascii="Times New Roman" w:hAnsi="Times New Roman" w:cs="Times New Roman"/>
          <w:sz w:val="24"/>
          <w:szCs w:val="24"/>
          <w:vertAlign w:val="superscript"/>
        </w:rPr>
        <w:t>th</w:t>
      </w:r>
      <w:r w:rsidRPr="004475C4">
        <w:rPr>
          <w:rFonts w:ascii="Times New Roman" w:hAnsi="Times New Roman" w:cs="Times New Roman"/>
          <w:sz w:val="24"/>
          <w:szCs w:val="24"/>
        </w:rPr>
        <w:t xml:space="preserve"> February 2017].</w:t>
      </w:r>
    </w:p>
    <w:p w14:paraId="5CBA5830" w14:textId="013DFC99" w:rsidR="0024724A" w:rsidRPr="006526A0" w:rsidRDefault="0024724A" w:rsidP="0024724A">
      <w:pPr>
        <w:spacing w:after="0" w:line="240" w:lineRule="auto"/>
        <w:ind w:firstLine="284"/>
        <w:contextualSpacing/>
        <w:jc w:val="both"/>
        <w:rPr>
          <w:rFonts w:ascii="Times New Roman" w:hAnsi="Times New Roman" w:cs="Times New Roman"/>
          <w:sz w:val="24"/>
          <w:szCs w:val="24"/>
        </w:rPr>
      </w:pPr>
      <w:r w:rsidRPr="004475C4">
        <w:rPr>
          <w:rFonts w:ascii="Times New Roman" w:hAnsi="Times New Roman" w:cs="Times New Roman"/>
          <w:sz w:val="24"/>
          <w:szCs w:val="24"/>
        </w:rPr>
        <w:t xml:space="preserve">Joly, D. (2004). </w:t>
      </w:r>
      <w:r w:rsidRPr="004475C4">
        <w:rPr>
          <w:rFonts w:ascii="Times New Roman" w:hAnsi="Times New Roman" w:cs="Times New Roman"/>
          <w:i/>
          <w:iCs/>
          <w:sz w:val="24"/>
          <w:szCs w:val="24"/>
        </w:rPr>
        <w:t>International Migration in the New Millennium: Global movement and</w:t>
      </w:r>
      <w:r>
        <w:rPr>
          <w:rFonts w:ascii="Times New Roman" w:hAnsi="Times New Roman" w:cs="Times New Roman"/>
          <w:i/>
          <w:iCs/>
          <w:sz w:val="24"/>
          <w:szCs w:val="24"/>
        </w:rPr>
        <w:t xml:space="preserve"> </w:t>
      </w:r>
      <w:r w:rsidRPr="004475C4">
        <w:rPr>
          <w:rFonts w:ascii="Times New Roman" w:hAnsi="Times New Roman" w:cs="Times New Roman"/>
          <w:i/>
          <w:iCs/>
          <w:sz w:val="24"/>
          <w:szCs w:val="24"/>
        </w:rPr>
        <w:t xml:space="preserve">Settlement. </w:t>
      </w:r>
      <w:r w:rsidRPr="004475C4">
        <w:rPr>
          <w:rFonts w:ascii="Times New Roman" w:hAnsi="Times New Roman" w:cs="Times New Roman"/>
          <w:sz w:val="24"/>
          <w:szCs w:val="24"/>
        </w:rPr>
        <w:t>USA: Ashgate Publishing Limited.</w:t>
      </w:r>
    </w:p>
    <w:p w14:paraId="5F6A8A14"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Karantinos, D. (2012). Labour market, recorded unemployment and labour flows during the current economic recession. In A. Mouriki et al. (Eds), </w:t>
      </w:r>
      <w:r w:rsidRPr="006526A0">
        <w:rPr>
          <w:rFonts w:ascii="Times New Roman" w:hAnsi="Times New Roman" w:cs="Times New Roman"/>
          <w:i/>
          <w:iCs/>
          <w:sz w:val="24"/>
          <w:szCs w:val="24"/>
        </w:rPr>
        <w:t xml:space="preserve">Social portrait of Greece 2012. </w:t>
      </w:r>
      <w:r w:rsidRPr="006526A0">
        <w:rPr>
          <w:rFonts w:ascii="Times New Roman" w:hAnsi="Times New Roman" w:cs="Times New Roman"/>
          <w:sz w:val="24"/>
          <w:szCs w:val="24"/>
        </w:rPr>
        <w:t>Athens: National Centre for Social Research (in Greek), pp.89-108.</w:t>
      </w:r>
    </w:p>
    <w:p w14:paraId="154007D8"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Kessels, J.W.M. and Poell, R.F. (2004). Andragogy and social capital theory: the implications for human resource development. </w:t>
      </w:r>
      <w:r w:rsidRPr="006526A0">
        <w:rPr>
          <w:rFonts w:ascii="Times New Roman" w:hAnsi="Times New Roman" w:cs="Times New Roman"/>
          <w:i/>
          <w:iCs/>
          <w:sz w:val="24"/>
          <w:szCs w:val="24"/>
        </w:rPr>
        <w:t>Advances in Developing Human Resources</w:t>
      </w:r>
      <w:r w:rsidRPr="006526A0">
        <w:rPr>
          <w:rFonts w:ascii="Times New Roman" w:hAnsi="Times New Roman" w:cs="Times New Roman"/>
          <w:sz w:val="24"/>
          <w:szCs w:val="24"/>
        </w:rPr>
        <w:t>, 6(2): 146-157.</w:t>
      </w:r>
    </w:p>
    <w:p w14:paraId="5479B67E" w14:textId="4F9326D3" w:rsidR="009F126F"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Koulouris, A., Moniarou-Papakonstantinou, V. and Kyriaki-Manessi, D. (2014). Austerity measures in Greece and their impact in higher education. Paper presented at the </w:t>
      </w:r>
      <w:r w:rsidRPr="006526A0">
        <w:rPr>
          <w:rFonts w:ascii="Times New Roman" w:hAnsi="Times New Roman" w:cs="Times New Roman"/>
          <w:i/>
          <w:iCs/>
          <w:sz w:val="24"/>
          <w:szCs w:val="24"/>
        </w:rPr>
        <w:t>3rd International Conference on Integrated Information (IC-ININFO).</w:t>
      </w:r>
      <w:r w:rsidRPr="006526A0">
        <w:rPr>
          <w:rFonts w:ascii="Times New Roman" w:hAnsi="Times New Roman" w:cs="Times New Roman"/>
          <w:sz w:val="24"/>
          <w:szCs w:val="24"/>
        </w:rPr>
        <w:t xml:space="preserve"> </w:t>
      </w:r>
      <w:r w:rsidRPr="006526A0">
        <w:rPr>
          <w:rFonts w:ascii="Times New Roman" w:hAnsi="Times New Roman" w:cs="Times New Roman"/>
          <w:i/>
          <w:iCs/>
          <w:sz w:val="24"/>
          <w:szCs w:val="24"/>
        </w:rPr>
        <w:t>Procedia-Social and Behavioural Sciences</w:t>
      </w:r>
      <w:r w:rsidRPr="006526A0">
        <w:rPr>
          <w:rFonts w:ascii="Times New Roman" w:hAnsi="Times New Roman" w:cs="Times New Roman"/>
          <w:sz w:val="24"/>
          <w:szCs w:val="24"/>
        </w:rPr>
        <w:t>, 147: 518-526.</w:t>
      </w:r>
    </w:p>
    <w:p w14:paraId="5B455C4B" w14:textId="433C6F09" w:rsidR="0024724A" w:rsidRPr="006526A0" w:rsidRDefault="0024724A" w:rsidP="006526A0">
      <w:pPr>
        <w:spacing w:after="0" w:line="240" w:lineRule="auto"/>
        <w:ind w:firstLine="284"/>
        <w:contextualSpacing/>
        <w:jc w:val="both"/>
        <w:rPr>
          <w:rFonts w:ascii="Times New Roman" w:hAnsi="Times New Roman" w:cs="Times New Roman"/>
          <w:sz w:val="24"/>
          <w:szCs w:val="24"/>
        </w:rPr>
      </w:pPr>
      <w:r w:rsidRPr="004475C4">
        <w:rPr>
          <w:rFonts w:ascii="Times New Roman" w:hAnsi="Times New Roman" w:cs="Times New Roman"/>
          <w:sz w:val="24"/>
          <w:szCs w:val="24"/>
        </w:rPr>
        <w:t xml:space="preserve">Kubursi, A. (2006). </w:t>
      </w:r>
      <w:r w:rsidRPr="004475C4">
        <w:rPr>
          <w:rFonts w:ascii="Times New Roman" w:hAnsi="Times New Roman" w:cs="Times New Roman"/>
          <w:i/>
          <w:sz w:val="24"/>
          <w:szCs w:val="24"/>
        </w:rPr>
        <w:t>Economies of Migration and Remittances under Globalization</w:t>
      </w:r>
      <w:r w:rsidRPr="004475C4">
        <w:rPr>
          <w:rFonts w:ascii="Times New Roman" w:hAnsi="Times New Roman" w:cs="Times New Roman"/>
          <w:sz w:val="24"/>
          <w:szCs w:val="24"/>
        </w:rPr>
        <w:t xml:space="preserve">. </w:t>
      </w:r>
      <w:r>
        <w:rPr>
          <w:rFonts w:ascii="Times New Roman" w:hAnsi="Times New Roman" w:cs="Times New Roman"/>
          <w:sz w:val="24"/>
          <w:szCs w:val="24"/>
        </w:rPr>
        <w:t>At</w:t>
      </w:r>
      <w:r w:rsidRPr="004475C4">
        <w:rPr>
          <w:rFonts w:ascii="Times New Roman" w:hAnsi="Times New Roman" w:cs="Times New Roman"/>
          <w:sz w:val="24"/>
          <w:szCs w:val="24"/>
        </w:rPr>
        <w:t xml:space="preserve">: </w:t>
      </w:r>
      <w:hyperlink r:id="rId26" w:history="1">
        <w:r w:rsidRPr="006C25C7">
          <w:rPr>
            <w:rStyle w:val="Hyperlink"/>
            <w:rFonts w:ascii="Times New Roman" w:hAnsi="Times New Roman" w:cs="Times New Roman"/>
            <w:sz w:val="24"/>
            <w:szCs w:val="24"/>
          </w:rPr>
          <w:t>http://www.un.org/en/ecosoc/meetings/2006/hls2006/Preparatory/Statements/Kubursi_RT6.pdf</w:t>
        </w:r>
      </w:hyperlink>
      <w:r w:rsidRPr="004475C4">
        <w:rPr>
          <w:rFonts w:ascii="Times New Roman" w:hAnsi="Times New Roman" w:cs="Times New Roman"/>
          <w:sz w:val="24"/>
          <w:szCs w:val="24"/>
        </w:rPr>
        <w:t xml:space="preserve"> [assessed 20th February 2017].</w:t>
      </w:r>
    </w:p>
    <w:p w14:paraId="5C5AF57C"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Kuhn, P. and McAusland, C. (2006). The international migration of knowledge workers: when is brain drain beneficial. </w:t>
      </w:r>
      <w:r w:rsidRPr="006526A0">
        <w:rPr>
          <w:rFonts w:ascii="Times New Roman" w:hAnsi="Times New Roman" w:cs="Times New Roman"/>
          <w:i/>
          <w:sz w:val="24"/>
          <w:szCs w:val="24"/>
        </w:rPr>
        <w:t>NBER Working Paper</w:t>
      </w:r>
      <w:r w:rsidRPr="006526A0">
        <w:rPr>
          <w:rFonts w:ascii="Times New Roman" w:hAnsi="Times New Roman" w:cs="Times New Roman"/>
          <w:sz w:val="24"/>
          <w:szCs w:val="24"/>
        </w:rPr>
        <w:t xml:space="preserve"> 12761, NBER, Bonn.</w:t>
      </w:r>
    </w:p>
    <w:p w14:paraId="28887D99"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Labrianidis, L. and Vogiatzis, N. (2013). Highly skilled migration: what differentiates the ‘brains’ who are drained from those who return in the case of Greece?. </w:t>
      </w:r>
      <w:r w:rsidRPr="006526A0">
        <w:rPr>
          <w:rFonts w:ascii="Times New Roman" w:hAnsi="Times New Roman" w:cs="Times New Roman"/>
          <w:i/>
          <w:iCs/>
          <w:sz w:val="24"/>
          <w:szCs w:val="24"/>
        </w:rPr>
        <w:t>Population, Space and Place</w:t>
      </w:r>
      <w:r w:rsidRPr="006526A0">
        <w:rPr>
          <w:rFonts w:ascii="Times New Roman" w:hAnsi="Times New Roman" w:cs="Times New Roman"/>
          <w:sz w:val="24"/>
          <w:szCs w:val="24"/>
        </w:rPr>
        <w:t>, 19(5): 472-486.</w:t>
      </w:r>
    </w:p>
    <w:p w14:paraId="17473179"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Larner, W. (2007). Expatriate experts and globalising governmentalities: the New Zealand diaspora strategy. </w:t>
      </w:r>
      <w:r w:rsidRPr="006526A0">
        <w:rPr>
          <w:rFonts w:ascii="Times New Roman" w:hAnsi="Times New Roman" w:cs="Times New Roman"/>
          <w:i/>
          <w:sz w:val="24"/>
          <w:szCs w:val="24"/>
        </w:rPr>
        <w:t>Transactions of the Institute of British Geographers NS</w:t>
      </w:r>
      <w:r w:rsidRPr="006526A0">
        <w:rPr>
          <w:rFonts w:ascii="Times New Roman" w:hAnsi="Times New Roman" w:cs="Times New Roman"/>
          <w:sz w:val="24"/>
          <w:szCs w:val="24"/>
        </w:rPr>
        <w:t>, 32(3): 331-345.</w:t>
      </w:r>
    </w:p>
    <w:p w14:paraId="2141AF19" w14:textId="77777777"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 xml:space="preserve">MacKenzie, R. and Forde, C. (2009). ‘The rhetoric of good workers versus the realities of employers’ use and the experiences of migrant workers’. </w:t>
      </w:r>
      <w:r w:rsidRPr="006526A0">
        <w:rPr>
          <w:rFonts w:ascii="Times New Roman" w:hAnsi="Times New Roman" w:cs="Times New Roman"/>
          <w:i/>
          <w:iCs/>
          <w:sz w:val="24"/>
          <w:szCs w:val="24"/>
        </w:rPr>
        <w:t xml:space="preserve">Work, Employment and Society, </w:t>
      </w:r>
      <w:r w:rsidRPr="006526A0">
        <w:rPr>
          <w:rFonts w:ascii="Times New Roman" w:hAnsi="Times New Roman" w:cs="Times New Roman"/>
          <w:sz w:val="24"/>
          <w:szCs w:val="24"/>
        </w:rPr>
        <w:t>23: 1, 142–159.</w:t>
      </w:r>
    </w:p>
    <w:p w14:paraId="6FE71823"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Mankin, D. (2009). </w:t>
      </w:r>
      <w:r w:rsidRPr="006526A0">
        <w:rPr>
          <w:rFonts w:ascii="Times New Roman" w:hAnsi="Times New Roman" w:cs="Times New Roman"/>
          <w:i/>
          <w:iCs/>
          <w:sz w:val="24"/>
          <w:szCs w:val="24"/>
        </w:rPr>
        <w:t xml:space="preserve">Human Resource Development. </w:t>
      </w:r>
      <w:r w:rsidRPr="006526A0">
        <w:rPr>
          <w:rFonts w:ascii="Times New Roman" w:hAnsi="Times New Roman" w:cs="Times New Roman"/>
          <w:sz w:val="24"/>
          <w:szCs w:val="24"/>
        </w:rPr>
        <w:t>Oxford, England: Oxford University Press.</w:t>
      </w:r>
    </w:p>
    <w:p w14:paraId="0F95F08D" w14:textId="20CA0CB2" w:rsidR="009F126F"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Marinakou, E., Giousmpasoglou, C. and Paliktzoglou, V. (2016) The Brain Drain Phenomenon in Higher Education in Greece: Attitudes and Opinions on the Decision to Immigrate. Paper presented in the </w:t>
      </w:r>
      <w:r w:rsidRPr="006526A0">
        <w:rPr>
          <w:rFonts w:ascii="Times New Roman" w:hAnsi="Times New Roman" w:cs="Times New Roman"/>
          <w:i/>
          <w:iCs/>
          <w:sz w:val="24"/>
          <w:szCs w:val="24"/>
        </w:rPr>
        <w:t>3rd Annual International Conference on Humanities &amp; Arts in a Global World</w:t>
      </w:r>
      <w:r w:rsidRPr="006526A0">
        <w:rPr>
          <w:rFonts w:ascii="Times New Roman" w:hAnsi="Times New Roman" w:cs="Times New Roman"/>
          <w:sz w:val="24"/>
          <w:szCs w:val="24"/>
        </w:rPr>
        <w:t>, 3-6 January, Athens, Greece.</w:t>
      </w:r>
    </w:p>
    <w:p w14:paraId="0255BED7" w14:textId="2E86FE18" w:rsidR="00DB7D52" w:rsidRPr="006526A0" w:rsidRDefault="00DB7D52" w:rsidP="006526A0">
      <w:pPr>
        <w:spacing w:after="0" w:line="240" w:lineRule="auto"/>
        <w:ind w:firstLine="284"/>
        <w:contextualSpacing/>
        <w:jc w:val="both"/>
        <w:rPr>
          <w:rFonts w:ascii="Times New Roman" w:hAnsi="Times New Roman" w:cs="Times New Roman"/>
          <w:sz w:val="24"/>
          <w:szCs w:val="24"/>
        </w:rPr>
      </w:pPr>
      <w:r w:rsidRPr="00CB3DC2">
        <w:rPr>
          <w:rFonts w:ascii="Times New Roman" w:hAnsi="Times New Roman" w:cs="Times New Roman"/>
          <w:sz w:val="24"/>
          <w:szCs w:val="24"/>
        </w:rPr>
        <w:t>Maxwell, G.A., Blair, S., and McDougall, M. (2001). Edging Towards Managing Diversity in</w:t>
      </w:r>
      <w:r>
        <w:rPr>
          <w:rFonts w:ascii="Times New Roman" w:hAnsi="Times New Roman" w:cs="Times New Roman"/>
          <w:sz w:val="24"/>
          <w:szCs w:val="24"/>
        </w:rPr>
        <w:t xml:space="preserve"> </w:t>
      </w:r>
      <w:r w:rsidRPr="00CB3DC2">
        <w:rPr>
          <w:rFonts w:ascii="Times New Roman" w:hAnsi="Times New Roman" w:cs="Times New Roman"/>
          <w:sz w:val="24"/>
          <w:szCs w:val="24"/>
        </w:rPr>
        <w:t xml:space="preserve">Practice. </w:t>
      </w:r>
      <w:r w:rsidRPr="00CB3DC2">
        <w:rPr>
          <w:rFonts w:ascii="Times New Roman" w:hAnsi="Times New Roman" w:cs="Times New Roman"/>
          <w:i/>
          <w:sz w:val="24"/>
          <w:szCs w:val="24"/>
        </w:rPr>
        <w:t>Employee Relations</w:t>
      </w:r>
      <w:r w:rsidRPr="00CB3DC2">
        <w:rPr>
          <w:rFonts w:ascii="Times New Roman" w:hAnsi="Times New Roman" w:cs="Times New Roman"/>
          <w:sz w:val="24"/>
          <w:szCs w:val="24"/>
        </w:rPr>
        <w:t xml:space="preserve">, 23(5): </w:t>
      </w:r>
      <w:r>
        <w:rPr>
          <w:rFonts w:ascii="Times New Roman" w:hAnsi="Times New Roman" w:cs="Times New Roman"/>
          <w:sz w:val="24"/>
          <w:szCs w:val="24"/>
        </w:rPr>
        <w:t>468-</w:t>
      </w:r>
      <w:r w:rsidRPr="00CB3DC2">
        <w:rPr>
          <w:rFonts w:ascii="Times New Roman" w:hAnsi="Times New Roman" w:cs="Times New Roman"/>
          <w:sz w:val="24"/>
          <w:szCs w:val="24"/>
        </w:rPr>
        <w:t>482.</w:t>
      </w:r>
    </w:p>
    <w:p w14:paraId="063A1230" w14:textId="77777777" w:rsidR="009F126F" w:rsidRPr="006526A0" w:rsidRDefault="009F126F" w:rsidP="006526A0">
      <w:pPr>
        <w:autoSpaceDE w:val="0"/>
        <w:autoSpaceDN w:val="0"/>
        <w:adjustRightInd w:val="0"/>
        <w:spacing w:after="0" w:line="240" w:lineRule="auto"/>
        <w:ind w:firstLine="284"/>
        <w:jc w:val="both"/>
        <w:rPr>
          <w:rFonts w:ascii="Times New Roman" w:eastAsia="Times New Roman" w:hAnsi="Times New Roman" w:cs="Times New Roman"/>
          <w:sz w:val="24"/>
          <w:szCs w:val="24"/>
          <w:lang w:val="en" w:eastAsia="en-GB"/>
        </w:rPr>
      </w:pPr>
      <w:r w:rsidRPr="006526A0">
        <w:rPr>
          <w:rFonts w:ascii="Times New Roman" w:hAnsi="Times New Roman" w:cs="Times New Roman"/>
          <w:sz w:val="24"/>
          <w:szCs w:val="24"/>
        </w:rPr>
        <w:t xml:space="preserve">McDowell, L. (2009). Old and New European economic migrants: whiteness and managed migration policies. </w:t>
      </w:r>
      <w:r w:rsidRPr="006526A0">
        <w:rPr>
          <w:rFonts w:ascii="Times New Roman" w:hAnsi="Times New Roman" w:cs="Times New Roman"/>
          <w:i/>
          <w:iCs/>
          <w:sz w:val="24"/>
          <w:szCs w:val="24"/>
        </w:rPr>
        <w:t xml:space="preserve">Journal of Ethnic and Migration Studies, </w:t>
      </w:r>
      <w:r w:rsidRPr="006526A0">
        <w:rPr>
          <w:rFonts w:ascii="Times New Roman" w:hAnsi="Times New Roman" w:cs="Times New Roman"/>
          <w:sz w:val="24"/>
          <w:szCs w:val="24"/>
        </w:rPr>
        <w:t>35(1): 19-36.</w:t>
      </w:r>
    </w:p>
    <w:p w14:paraId="7CD8816B" w14:textId="6C927ED2"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sz w:val="24"/>
          <w:szCs w:val="24"/>
        </w:rPr>
      </w:pPr>
      <w:r w:rsidRPr="006526A0">
        <w:rPr>
          <w:rFonts w:ascii="Times New Roman" w:hAnsi="Times New Roman" w:cs="Times New Roman"/>
          <w:sz w:val="24"/>
          <w:szCs w:val="24"/>
        </w:rPr>
        <w:t>McGovern, P. (2007). Immigration, labour markets and employment relations: problems and prospec</w:t>
      </w:r>
      <w:r w:rsidR="00493A55">
        <w:rPr>
          <w:rFonts w:ascii="Times New Roman" w:hAnsi="Times New Roman" w:cs="Times New Roman"/>
          <w:sz w:val="24"/>
          <w:szCs w:val="24"/>
        </w:rPr>
        <w:t>ts</w:t>
      </w:r>
      <w:r w:rsidRPr="006526A0">
        <w:rPr>
          <w:rFonts w:ascii="Times New Roman" w:hAnsi="Times New Roman" w:cs="Times New Roman"/>
          <w:sz w:val="24"/>
          <w:szCs w:val="24"/>
        </w:rPr>
        <w:t xml:space="preserve">, </w:t>
      </w:r>
      <w:r w:rsidRPr="006526A0">
        <w:rPr>
          <w:rFonts w:ascii="Times New Roman" w:hAnsi="Times New Roman" w:cs="Times New Roman"/>
          <w:i/>
          <w:iCs/>
          <w:sz w:val="24"/>
          <w:szCs w:val="24"/>
        </w:rPr>
        <w:t>British Journal of Industrial Relations</w:t>
      </w:r>
      <w:r w:rsidRPr="006526A0">
        <w:rPr>
          <w:rFonts w:ascii="Times New Roman" w:hAnsi="Times New Roman" w:cs="Times New Roman"/>
          <w:sz w:val="24"/>
          <w:szCs w:val="24"/>
        </w:rPr>
        <w:t>, 45</w:t>
      </w:r>
      <w:r w:rsidR="00493A55">
        <w:rPr>
          <w:rFonts w:ascii="Times New Roman" w:hAnsi="Times New Roman" w:cs="Times New Roman"/>
          <w:sz w:val="24"/>
          <w:szCs w:val="24"/>
        </w:rPr>
        <w:t>(</w:t>
      </w:r>
      <w:r w:rsidRPr="006526A0">
        <w:rPr>
          <w:rFonts w:ascii="Times New Roman" w:hAnsi="Times New Roman" w:cs="Times New Roman"/>
          <w:sz w:val="24"/>
          <w:szCs w:val="24"/>
        </w:rPr>
        <w:t>2</w:t>
      </w:r>
      <w:r w:rsidR="00493A55">
        <w:rPr>
          <w:rFonts w:ascii="Times New Roman" w:hAnsi="Times New Roman" w:cs="Times New Roman"/>
          <w:sz w:val="24"/>
          <w:szCs w:val="24"/>
        </w:rPr>
        <w:t>): 217-</w:t>
      </w:r>
      <w:r w:rsidRPr="006526A0">
        <w:rPr>
          <w:rFonts w:ascii="Times New Roman" w:hAnsi="Times New Roman" w:cs="Times New Roman"/>
          <w:sz w:val="24"/>
          <w:szCs w:val="24"/>
        </w:rPr>
        <w:t>235.</w:t>
      </w:r>
    </w:p>
    <w:p w14:paraId="18E9D8BD"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eastAsia="Times New Roman" w:hAnsi="Times New Roman" w:cs="Times New Roman"/>
          <w:sz w:val="24"/>
          <w:szCs w:val="24"/>
          <w:lang w:val="en" w:eastAsia="en-GB"/>
        </w:rPr>
        <w:t xml:space="preserve">Meardi, G. (2012). </w:t>
      </w:r>
      <w:hyperlink r:id="rId27" w:tgtFrame="_blank" w:history="1">
        <w:r w:rsidRPr="006526A0">
          <w:rPr>
            <w:rFonts w:ascii="Times New Roman" w:eastAsia="Times New Roman" w:hAnsi="Times New Roman" w:cs="Times New Roman"/>
            <w:sz w:val="24"/>
            <w:szCs w:val="24"/>
            <w:lang w:val="en" w:eastAsia="en-GB"/>
          </w:rPr>
          <w:t>Union immobility? Trade unions and the freedoms of movement in the enlarged EU</w:t>
        </w:r>
      </w:hyperlink>
      <w:r w:rsidRPr="006526A0">
        <w:rPr>
          <w:rFonts w:ascii="Times New Roman" w:eastAsia="Times New Roman" w:hAnsi="Times New Roman" w:cs="Times New Roman"/>
          <w:sz w:val="24"/>
          <w:szCs w:val="24"/>
          <w:lang w:val="en" w:eastAsia="en-GB"/>
        </w:rPr>
        <w:t xml:space="preserve">. </w:t>
      </w:r>
      <w:r w:rsidRPr="006526A0">
        <w:rPr>
          <w:rFonts w:ascii="Times New Roman" w:eastAsia="Times New Roman" w:hAnsi="Times New Roman" w:cs="Times New Roman"/>
          <w:i/>
          <w:iCs/>
          <w:sz w:val="24"/>
          <w:szCs w:val="24"/>
          <w:lang w:val="en" w:eastAsia="en-GB"/>
        </w:rPr>
        <w:t>British Journal of Industrial Relations</w:t>
      </w:r>
      <w:r w:rsidRPr="006526A0">
        <w:rPr>
          <w:rFonts w:ascii="Times New Roman" w:eastAsia="Times New Roman" w:hAnsi="Times New Roman" w:cs="Times New Roman"/>
          <w:sz w:val="24"/>
          <w:szCs w:val="24"/>
          <w:lang w:val="en" w:eastAsia="en-GB"/>
        </w:rPr>
        <w:t>, 50(1): 99-120.</w:t>
      </w:r>
    </w:p>
    <w:p w14:paraId="5E2C8FAB"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lastRenderedPageBreak/>
        <w:t xml:space="preserve">Mitsiniotou, V. (2016). </w:t>
      </w:r>
      <w:r w:rsidRPr="006526A0">
        <w:rPr>
          <w:rFonts w:ascii="Times New Roman" w:hAnsi="Times New Roman" w:cs="Times New Roman"/>
          <w:i/>
          <w:iCs/>
          <w:sz w:val="24"/>
          <w:szCs w:val="24"/>
        </w:rPr>
        <w:t>9 years since crisis hit, Greek brain drain continues</w:t>
      </w:r>
      <w:r w:rsidRPr="006526A0">
        <w:rPr>
          <w:rFonts w:ascii="Times New Roman" w:hAnsi="Times New Roman" w:cs="Times New Roman"/>
          <w:sz w:val="24"/>
          <w:szCs w:val="24"/>
        </w:rPr>
        <w:t xml:space="preserve">. Retrieved from the Anadolu Agency (AA), available at: </w:t>
      </w:r>
      <w:hyperlink r:id="rId28" w:history="1">
        <w:r w:rsidRPr="006526A0">
          <w:rPr>
            <w:rStyle w:val="Hyperlink"/>
            <w:rFonts w:ascii="Times New Roman" w:hAnsi="Times New Roman" w:cs="Times New Roman"/>
            <w:sz w:val="24"/>
            <w:szCs w:val="24"/>
          </w:rPr>
          <w:t>http://aa.com.tr/en/economy/9-years-since-crisis-hit-greek-brain-drain-continues/593675</w:t>
        </w:r>
      </w:hyperlink>
      <w:r w:rsidRPr="006526A0">
        <w:rPr>
          <w:rFonts w:ascii="Times New Roman" w:hAnsi="Times New Roman" w:cs="Times New Roman"/>
          <w:sz w:val="24"/>
          <w:szCs w:val="24"/>
        </w:rPr>
        <w:t xml:space="preserve"> [Assessed on 6th January 2017].</w:t>
      </w:r>
    </w:p>
    <w:p w14:paraId="6E90781F"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eastAsiaTheme="minorEastAsia" w:hAnsi="Times New Roman" w:cs="Times New Roman"/>
          <w:sz w:val="24"/>
          <w:szCs w:val="24"/>
          <w:lang w:eastAsia="zh-CN"/>
        </w:rPr>
        <w:t xml:space="preserve">Nafukho, F.M., Hairston, N. and Brooks, K. (2004). Human capital theory: implications for human resource development, </w:t>
      </w:r>
      <w:r w:rsidRPr="006526A0">
        <w:rPr>
          <w:rFonts w:ascii="Times New Roman" w:eastAsiaTheme="minorEastAsia" w:hAnsi="Times New Roman" w:cs="Times New Roman"/>
          <w:i/>
          <w:iCs/>
          <w:sz w:val="24"/>
          <w:szCs w:val="24"/>
          <w:lang w:eastAsia="zh-CN"/>
        </w:rPr>
        <w:t>Human Resource Development International</w:t>
      </w:r>
      <w:r w:rsidRPr="006526A0">
        <w:rPr>
          <w:rFonts w:ascii="Times New Roman" w:eastAsiaTheme="minorEastAsia" w:hAnsi="Times New Roman" w:cs="Times New Roman"/>
          <w:sz w:val="24"/>
          <w:szCs w:val="24"/>
          <w:lang w:eastAsia="zh-CN"/>
        </w:rPr>
        <w:t>, 7(4): 545-551.</w:t>
      </w:r>
    </w:p>
    <w:p w14:paraId="375D37C5"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OECD, (2012). </w:t>
      </w:r>
      <w:r w:rsidRPr="006526A0">
        <w:rPr>
          <w:rFonts w:ascii="Times New Roman" w:hAnsi="Times New Roman" w:cs="Times New Roman"/>
          <w:i/>
          <w:iCs/>
          <w:sz w:val="24"/>
          <w:szCs w:val="24"/>
        </w:rPr>
        <w:t>Greece – country note: Education at a glance</w:t>
      </w:r>
      <w:r w:rsidRPr="006526A0">
        <w:rPr>
          <w:rFonts w:ascii="Times New Roman" w:hAnsi="Times New Roman" w:cs="Times New Roman"/>
          <w:sz w:val="24"/>
          <w:szCs w:val="24"/>
        </w:rPr>
        <w:t xml:space="preserve">. Retrieved from OECD, available at: </w:t>
      </w:r>
      <w:hyperlink r:id="rId29" w:history="1">
        <w:r w:rsidRPr="006526A0">
          <w:rPr>
            <w:rStyle w:val="Hyperlink"/>
            <w:rFonts w:ascii="Times New Roman" w:hAnsi="Times New Roman" w:cs="Times New Roman"/>
            <w:sz w:val="24"/>
            <w:szCs w:val="24"/>
          </w:rPr>
          <w:t>https://www.oecd.org/edu/Greece-EAG2014-Country-Note.pdf</w:t>
        </w:r>
      </w:hyperlink>
      <w:r w:rsidRPr="006526A0">
        <w:rPr>
          <w:rFonts w:ascii="Times New Roman" w:hAnsi="Times New Roman" w:cs="Times New Roman"/>
          <w:sz w:val="24"/>
          <w:szCs w:val="24"/>
        </w:rPr>
        <w:t xml:space="preserve"> [Assessed on 25th November 2016].</w:t>
      </w:r>
    </w:p>
    <w:p w14:paraId="0E3159CF"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Office for National Statistics (ONS)</w:t>
      </w:r>
      <w:r>
        <w:rPr>
          <w:rFonts w:ascii="Times New Roman" w:hAnsi="Times New Roman" w:cs="Times New Roman"/>
          <w:sz w:val="24"/>
          <w:szCs w:val="24"/>
        </w:rPr>
        <w:t>.</w:t>
      </w:r>
      <w:r w:rsidRPr="006526A0">
        <w:rPr>
          <w:rFonts w:ascii="Times New Roman" w:hAnsi="Times New Roman" w:cs="Times New Roman"/>
          <w:sz w:val="24"/>
          <w:szCs w:val="24"/>
        </w:rPr>
        <w:t xml:space="preserve"> (2017). </w:t>
      </w:r>
      <w:r w:rsidRPr="006526A0">
        <w:rPr>
          <w:rFonts w:ascii="Times New Roman" w:hAnsi="Times New Roman" w:cs="Times New Roman"/>
          <w:i/>
          <w:sz w:val="24"/>
          <w:szCs w:val="24"/>
        </w:rPr>
        <w:t>Migration Statistics Quarterly Report</w:t>
      </w:r>
      <w:r w:rsidRPr="006526A0">
        <w:rPr>
          <w:rFonts w:ascii="Times New Roman" w:hAnsi="Times New Roman" w:cs="Times New Roman"/>
          <w:sz w:val="24"/>
          <w:szCs w:val="24"/>
        </w:rPr>
        <w:t xml:space="preserve">, Retrieved from ONS, available at:  </w:t>
      </w:r>
      <w:hyperlink r:id="rId30" w:history="1">
        <w:r w:rsidRPr="006526A0">
          <w:rPr>
            <w:rStyle w:val="Hyperlink"/>
            <w:rFonts w:ascii="Times New Roman" w:hAnsi="Times New Roman" w:cs="Times New Roman"/>
            <w:sz w:val="24"/>
            <w:szCs w:val="24"/>
          </w:rPr>
          <w:t>https://www.ons.gov.uk/peoplepopulationandcommunity/populationandmigration/internationalmigration/bulletins/migrationstatisticsquarterlyreport/feb2017</w:t>
        </w:r>
      </w:hyperlink>
      <w:r w:rsidRPr="006526A0">
        <w:rPr>
          <w:rFonts w:ascii="Times New Roman" w:hAnsi="Times New Roman" w:cs="Times New Roman"/>
          <w:sz w:val="24"/>
          <w:szCs w:val="24"/>
        </w:rPr>
        <w:t xml:space="preserve"> [Assessed on 3rd Feb. 2017].</w:t>
      </w:r>
    </w:p>
    <w:p w14:paraId="164F1A7E" w14:textId="77777777" w:rsidR="009F126F" w:rsidRPr="006526A0" w:rsidRDefault="009F126F" w:rsidP="006526A0">
      <w:pPr>
        <w:autoSpaceDE w:val="0"/>
        <w:autoSpaceDN w:val="0"/>
        <w:adjustRightInd w:val="0"/>
        <w:spacing w:after="0" w:line="240" w:lineRule="auto"/>
        <w:ind w:firstLine="284"/>
        <w:jc w:val="both"/>
        <w:rPr>
          <w:rFonts w:ascii="Times New Roman" w:eastAsiaTheme="minorEastAsia" w:hAnsi="Times New Roman" w:cs="Times New Roman"/>
          <w:sz w:val="24"/>
          <w:szCs w:val="24"/>
          <w:lang w:eastAsia="zh-CN"/>
        </w:rPr>
      </w:pPr>
      <w:r w:rsidRPr="006526A0">
        <w:rPr>
          <w:rFonts w:ascii="Times New Roman" w:hAnsi="Times New Roman" w:cs="Times New Roman"/>
          <w:sz w:val="24"/>
          <w:szCs w:val="24"/>
        </w:rPr>
        <w:t xml:space="preserve">Rodriguez, N. (2006). </w:t>
      </w:r>
      <w:r>
        <w:rPr>
          <w:rFonts w:ascii="Times New Roman" w:hAnsi="Times New Roman" w:cs="Times New Roman"/>
          <w:sz w:val="24"/>
          <w:szCs w:val="24"/>
        </w:rPr>
        <w:t>“</w:t>
      </w:r>
      <w:r w:rsidRPr="006526A0">
        <w:rPr>
          <w:rFonts w:ascii="Times New Roman" w:hAnsi="Times New Roman" w:cs="Times New Roman"/>
          <w:sz w:val="24"/>
          <w:szCs w:val="24"/>
        </w:rPr>
        <w:t xml:space="preserve">Workers wanted”, employer </w:t>
      </w:r>
      <w:r>
        <w:rPr>
          <w:rFonts w:ascii="Times New Roman" w:hAnsi="Times New Roman" w:cs="Times New Roman"/>
          <w:sz w:val="24"/>
          <w:szCs w:val="24"/>
        </w:rPr>
        <w:t>recruitment of immigrant labour</w:t>
      </w:r>
      <w:r w:rsidRPr="006526A0">
        <w:rPr>
          <w:rFonts w:ascii="Times New Roman" w:hAnsi="Times New Roman" w:cs="Times New Roman"/>
          <w:sz w:val="24"/>
          <w:szCs w:val="24"/>
        </w:rPr>
        <w:t xml:space="preserve">. </w:t>
      </w:r>
      <w:r w:rsidRPr="006526A0">
        <w:rPr>
          <w:rFonts w:ascii="Times New Roman" w:hAnsi="Times New Roman" w:cs="Times New Roman"/>
          <w:i/>
          <w:iCs/>
          <w:sz w:val="24"/>
          <w:szCs w:val="24"/>
        </w:rPr>
        <w:t xml:space="preserve">Work and Occupations, </w:t>
      </w:r>
      <w:r w:rsidRPr="006526A0">
        <w:rPr>
          <w:rFonts w:ascii="Times New Roman" w:hAnsi="Times New Roman" w:cs="Times New Roman"/>
          <w:sz w:val="24"/>
          <w:szCs w:val="24"/>
        </w:rPr>
        <w:t>31</w:t>
      </w:r>
      <w:r>
        <w:rPr>
          <w:rFonts w:ascii="Times New Roman" w:hAnsi="Times New Roman" w:cs="Times New Roman"/>
          <w:sz w:val="24"/>
          <w:szCs w:val="24"/>
        </w:rPr>
        <w:t>(</w:t>
      </w:r>
      <w:r w:rsidRPr="006526A0">
        <w:rPr>
          <w:rFonts w:ascii="Times New Roman" w:hAnsi="Times New Roman" w:cs="Times New Roman"/>
          <w:sz w:val="24"/>
          <w:szCs w:val="24"/>
        </w:rPr>
        <w:t>4</w:t>
      </w:r>
      <w:r>
        <w:rPr>
          <w:rFonts w:ascii="Times New Roman" w:hAnsi="Times New Roman" w:cs="Times New Roman"/>
          <w:sz w:val="24"/>
          <w:szCs w:val="24"/>
        </w:rPr>
        <w:t xml:space="preserve">): </w:t>
      </w:r>
      <w:r w:rsidRPr="006526A0">
        <w:rPr>
          <w:rFonts w:ascii="Times New Roman" w:hAnsi="Times New Roman" w:cs="Times New Roman"/>
          <w:sz w:val="24"/>
          <w:szCs w:val="24"/>
        </w:rPr>
        <w:t>453</w:t>
      </w:r>
      <w:r>
        <w:rPr>
          <w:rFonts w:ascii="Times New Roman" w:hAnsi="Times New Roman" w:cs="Times New Roman"/>
          <w:sz w:val="24"/>
          <w:szCs w:val="24"/>
        </w:rPr>
        <w:t>-</w:t>
      </w:r>
      <w:r w:rsidRPr="006526A0">
        <w:rPr>
          <w:rFonts w:ascii="Times New Roman" w:hAnsi="Times New Roman" w:cs="Times New Roman"/>
          <w:sz w:val="24"/>
          <w:szCs w:val="24"/>
        </w:rPr>
        <w:t>473.</w:t>
      </w:r>
    </w:p>
    <w:p w14:paraId="73B80167"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Saxenian, A. (2006). </w:t>
      </w:r>
      <w:r w:rsidRPr="006526A0">
        <w:rPr>
          <w:rFonts w:ascii="Times New Roman" w:hAnsi="Times New Roman" w:cs="Times New Roman"/>
          <w:i/>
          <w:sz w:val="24"/>
          <w:szCs w:val="24"/>
        </w:rPr>
        <w:t>The New Argonauts. Regional Advantage in a Global Economy</w:t>
      </w:r>
      <w:r w:rsidRPr="006526A0">
        <w:rPr>
          <w:rFonts w:ascii="Times New Roman" w:hAnsi="Times New Roman" w:cs="Times New Roman"/>
          <w:sz w:val="24"/>
          <w:szCs w:val="24"/>
        </w:rPr>
        <w:t>, Harvard University Press, Cambridge, MA.</w:t>
      </w:r>
    </w:p>
    <w:p w14:paraId="751ABE02"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Schmidt, W. and Muller, A. (2013). Social Integration and workplace Industrial Relations; Migrant and Native employees in German Industry. </w:t>
      </w:r>
      <w:r w:rsidRPr="006526A0">
        <w:rPr>
          <w:rFonts w:ascii="Times New Roman" w:eastAsia="Times New Roman" w:hAnsi="Times New Roman" w:cs="Times New Roman"/>
          <w:i/>
          <w:iCs/>
          <w:sz w:val="24"/>
          <w:szCs w:val="24"/>
          <w:lang w:val="en" w:eastAsia="en-GB"/>
        </w:rPr>
        <w:t>Relations Industrielles / Industrial Relations</w:t>
      </w:r>
      <w:r w:rsidRPr="006526A0">
        <w:rPr>
          <w:rFonts w:ascii="Times New Roman" w:eastAsia="Times New Roman" w:hAnsi="Times New Roman" w:cs="Times New Roman"/>
          <w:sz w:val="24"/>
          <w:szCs w:val="24"/>
          <w:lang w:val="en" w:eastAsia="en-GB"/>
        </w:rPr>
        <w:t>, 68(3): 361-386.</w:t>
      </w:r>
    </w:p>
    <w:p w14:paraId="1DF83AA8" w14:textId="77777777" w:rsidR="009F126F" w:rsidRPr="006526A0" w:rsidRDefault="009F126F" w:rsidP="006526A0">
      <w:pPr>
        <w:autoSpaceDE w:val="0"/>
        <w:autoSpaceDN w:val="0"/>
        <w:adjustRightInd w:val="0"/>
        <w:spacing w:after="0" w:line="240" w:lineRule="auto"/>
        <w:ind w:firstLine="284"/>
        <w:jc w:val="both"/>
        <w:rPr>
          <w:rFonts w:ascii="Times New Roman" w:eastAsiaTheme="minorEastAsia" w:hAnsi="Times New Roman" w:cs="Times New Roman"/>
          <w:sz w:val="24"/>
          <w:szCs w:val="24"/>
          <w:lang w:eastAsia="zh-CN"/>
        </w:rPr>
      </w:pPr>
      <w:r w:rsidRPr="006526A0">
        <w:rPr>
          <w:rFonts w:ascii="Times New Roman" w:hAnsi="Times New Roman" w:cs="Times New Roman"/>
          <w:color w:val="222222"/>
          <w:sz w:val="24"/>
          <w:szCs w:val="24"/>
          <w:shd w:val="clear" w:color="auto" w:fill="FFFFFF"/>
        </w:rPr>
        <w:t>Shen, J., Chanda</w:t>
      </w:r>
      <w:r>
        <w:rPr>
          <w:rFonts w:ascii="Times New Roman" w:hAnsi="Times New Roman" w:cs="Times New Roman"/>
          <w:color w:val="222222"/>
          <w:sz w:val="24"/>
          <w:szCs w:val="24"/>
          <w:shd w:val="clear" w:color="auto" w:fill="FFFFFF"/>
        </w:rPr>
        <w:t>, A., D'netto, B. and Monga, M.</w:t>
      </w:r>
      <w:r w:rsidRPr="006526A0">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6526A0">
        <w:rPr>
          <w:rFonts w:ascii="Times New Roman" w:hAnsi="Times New Roman" w:cs="Times New Roman"/>
          <w:color w:val="222222"/>
          <w:sz w:val="24"/>
          <w:szCs w:val="24"/>
          <w:shd w:val="clear" w:color="auto" w:fill="FFFFFF"/>
        </w:rPr>
        <w:t>2009</w:t>
      </w:r>
      <w:r>
        <w:rPr>
          <w:rFonts w:ascii="Times New Roman" w:hAnsi="Times New Roman" w:cs="Times New Roman"/>
          <w:color w:val="222222"/>
          <w:sz w:val="24"/>
          <w:szCs w:val="24"/>
          <w:shd w:val="clear" w:color="auto" w:fill="FFFFFF"/>
        </w:rPr>
        <w:t>)</w:t>
      </w:r>
      <w:r w:rsidRPr="006526A0">
        <w:rPr>
          <w:rFonts w:ascii="Times New Roman" w:hAnsi="Times New Roman" w:cs="Times New Roman"/>
          <w:color w:val="222222"/>
          <w:sz w:val="24"/>
          <w:szCs w:val="24"/>
          <w:shd w:val="clear" w:color="auto" w:fill="FFFFFF"/>
        </w:rPr>
        <w:t>. Managing diversity through human resource management: An international perspective and conceptual framework.</w:t>
      </w:r>
      <w:r w:rsidRPr="006526A0">
        <w:rPr>
          <w:rStyle w:val="apple-converted-space"/>
          <w:rFonts w:ascii="Times New Roman" w:hAnsi="Times New Roman" w:cs="Times New Roman"/>
          <w:color w:val="222222"/>
          <w:sz w:val="24"/>
          <w:szCs w:val="24"/>
          <w:shd w:val="clear" w:color="auto" w:fill="FFFFFF"/>
        </w:rPr>
        <w:t> </w:t>
      </w:r>
      <w:r w:rsidRPr="006526A0">
        <w:rPr>
          <w:rFonts w:ascii="Times New Roman" w:hAnsi="Times New Roman" w:cs="Times New Roman"/>
          <w:i/>
          <w:iCs/>
          <w:color w:val="222222"/>
          <w:sz w:val="24"/>
          <w:szCs w:val="24"/>
          <w:shd w:val="clear" w:color="auto" w:fill="FFFFFF"/>
        </w:rPr>
        <w:t>The International Journal of Human Resource Management</w:t>
      </w:r>
      <w:r w:rsidRPr="006526A0">
        <w:rPr>
          <w:rFonts w:ascii="Times New Roman" w:hAnsi="Times New Roman" w:cs="Times New Roman"/>
          <w:color w:val="222222"/>
          <w:sz w:val="24"/>
          <w:szCs w:val="24"/>
          <w:shd w:val="clear" w:color="auto" w:fill="FFFFFF"/>
        </w:rPr>
        <w:t>,</w:t>
      </w:r>
      <w:r w:rsidRPr="006526A0">
        <w:rPr>
          <w:rStyle w:val="apple-converted-space"/>
          <w:rFonts w:ascii="Times New Roman" w:hAnsi="Times New Roman" w:cs="Times New Roman"/>
          <w:color w:val="222222"/>
          <w:sz w:val="24"/>
          <w:szCs w:val="24"/>
          <w:shd w:val="clear" w:color="auto" w:fill="FFFFFF"/>
        </w:rPr>
        <w:t> </w:t>
      </w:r>
      <w:r w:rsidRPr="007E60B9">
        <w:rPr>
          <w:rFonts w:ascii="Times New Roman" w:hAnsi="Times New Roman" w:cs="Times New Roman"/>
          <w:iCs/>
          <w:color w:val="222222"/>
          <w:sz w:val="24"/>
          <w:szCs w:val="24"/>
          <w:shd w:val="clear" w:color="auto" w:fill="FFFFFF"/>
        </w:rPr>
        <w:t>20</w:t>
      </w:r>
      <w:r w:rsidRPr="006526A0">
        <w:rPr>
          <w:rFonts w:ascii="Times New Roman" w:hAnsi="Times New Roman" w:cs="Times New Roman"/>
          <w:color w:val="222222"/>
          <w:sz w:val="24"/>
          <w:szCs w:val="24"/>
          <w:shd w:val="clear" w:color="auto" w:fill="FFFFFF"/>
        </w:rPr>
        <w:t>(2)</w:t>
      </w:r>
      <w:r>
        <w:rPr>
          <w:rFonts w:ascii="Times New Roman" w:hAnsi="Times New Roman" w:cs="Times New Roman"/>
          <w:color w:val="222222"/>
          <w:sz w:val="24"/>
          <w:szCs w:val="24"/>
          <w:shd w:val="clear" w:color="auto" w:fill="FFFFFF"/>
        </w:rPr>
        <w:t xml:space="preserve">: </w:t>
      </w:r>
      <w:r w:rsidRPr="006526A0">
        <w:rPr>
          <w:rFonts w:ascii="Times New Roman" w:hAnsi="Times New Roman" w:cs="Times New Roman"/>
          <w:color w:val="222222"/>
          <w:sz w:val="24"/>
          <w:szCs w:val="24"/>
          <w:shd w:val="clear" w:color="auto" w:fill="FFFFFF"/>
        </w:rPr>
        <w:t>235-251.</w:t>
      </w:r>
    </w:p>
    <w:p w14:paraId="56EEF01C"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Smith, H. (2015). </w:t>
      </w:r>
      <w:r w:rsidRPr="006526A0">
        <w:rPr>
          <w:rFonts w:ascii="Times New Roman" w:hAnsi="Times New Roman" w:cs="Times New Roman"/>
          <w:i/>
          <w:iCs/>
          <w:sz w:val="24"/>
          <w:szCs w:val="24"/>
        </w:rPr>
        <w:t>Young, gifted and Greek: Generation G – the world’s biggest brain drain</w:t>
      </w:r>
      <w:r w:rsidRPr="006526A0">
        <w:rPr>
          <w:rFonts w:ascii="Times New Roman" w:hAnsi="Times New Roman" w:cs="Times New Roman"/>
          <w:sz w:val="24"/>
          <w:szCs w:val="24"/>
        </w:rPr>
        <w:t xml:space="preserve">. Retrieved from The Guardian website, available at: </w:t>
      </w:r>
      <w:hyperlink r:id="rId31" w:history="1">
        <w:r w:rsidRPr="006526A0">
          <w:rPr>
            <w:rStyle w:val="Hyperlink"/>
            <w:rFonts w:ascii="Times New Roman" w:hAnsi="Times New Roman" w:cs="Times New Roman"/>
            <w:sz w:val="24"/>
            <w:szCs w:val="24"/>
          </w:rPr>
          <w:t>https://www.theguardian.com/world/2015/jan/19/young-talented-greek-generation-g-worlds-biggest-brain-drain</w:t>
        </w:r>
      </w:hyperlink>
      <w:r w:rsidRPr="006526A0">
        <w:rPr>
          <w:rFonts w:ascii="Times New Roman" w:hAnsi="Times New Roman" w:cs="Times New Roman"/>
          <w:sz w:val="24"/>
          <w:szCs w:val="24"/>
        </w:rPr>
        <w:t xml:space="preserve"> [Assessed on 4th December 2016].</w:t>
      </w:r>
    </w:p>
    <w:p w14:paraId="277E3B0A"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Smith, H. (2016). </w:t>
      </w:r>
      <w:r w:rsidRPr="006526A0">
        <w:rPr>
          <w:rFonts w:ascii="Times New Roman" w:hAnsi="Times New Roman" w:cs="Times New Roman"/>
          <w:i/>
          <w:iCs/>
          <w:sz w:val="24"/>
          <w:szCs w:val="24"/>
        </w:rPr>
        <w:t>Greek economic migrants increasing, while joblessness soars.</w:t>
      </w:r>
      <w:r w:rsidRPr="006526A0">
        <w:rPr>
          <w:rFonts w:ascii="Times New Roman" w:hAnsi="Times New Roman" w:cs="Times New Roman"/>
          <w:sz w:val="24"/>
          <w:szCs w:val="24"/>
        </w:rPr>
        <w:t xml:space="preserve"> Retrieved from The Guardian website, available at: </w:t>
      </w:r>
      <w:hyperlink r:id="rId32" w:history="1">
        <w:r w:rsidRPr="006526A0">
          <w:rPr>
            <w:rStyle w:val="Hyperlink"/>
            <w:rFonts w:ascii="Times New Roman" w:hAnsi="Times New Roman" w:cs="Times New Roman"/>
            <w:sz w:val="24"/>
            <w:szCs w:val="24"/>
          </w:rPr>
          <w:t>https://www.theguardian.com/world/2016/jul/03/greek-economic-migrants-increasing-while-joblessness-soars</w:t>
        </w:r>
      </w:hyperlink>
      <w:r w:rsidRPr="006526A0">
        <w:rPr>
          <w:rFonts w:ascii="Times New Roman" w:hAnsi="Times New Roman" w:cs="Times New Roman"/>
          <w:sz w:val="24"/>
          <w:szCs w:val="24"/>
        </w:rPr>
        <w:t xml:space="preserve"> [Assessed on 16th March 2017].</w:t>
      </w:r>
    </w:p>
    <w:p w14:paraId="30ABB272"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Song, L. (2012). Raising network resources while raising children? Access to social capital by parenthood status, gender, and marital status. </w:t>
      </w:r>
      <w:r w:rsidRPr="006526A0">
        <w:rPr>
          <w:rFonts w:ascii="Times New Roman" w:hAnsi="Times New Roman" w:cs="Times New Roman"/>
          <w:i/>
          <w:iCs/>
          <w:sz w:val="24"/>
          <w:szCs w:val="24"/>
        </w:rPr>
        <w:t>Social Networks</w:t>
      </w:r>
      <w:r w:rsidRPr="006526A0">
        <w:rPr>
          <w:rFonts w:ascii="Times New Roman" w:hAnsi="Times New Roman" w:cs="Times New Roman"/>
          <w:sz w:val="24"/>
          <w:szCs w:val="24"/>
        </w:rPr>
        <w:t>, 34(2): 241-252.</w:t>
      </w:r>
    </w:p>
    <w:p w14:paraId="45E981A7"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Song, L., Son, J. and Lin, N. (2010). Social Capital and Health. In W.C. Cockerham (Ed.), </w:t>
      </w:r>
      <w:r w:rsidRPr="006526A0">
        <w:rPr>
          <w:rFonts w:ascii="Times New Roman" w:hAnsi="Times New Roman" w:cs="Times New Roman"/>
          <w:i/>
          <w:iCs/>
          <w:sz w:val="24"/>
          <w:szCs w:val="24"/>
        </w:rPr>
        <w:t xml:space="preserve">The new companion to medical sociology </w:t>
      </w:r>
      <w:r w:rsidRPr="006526A0">
        <w:rPr>
          <w:rFonts w:ascii="Times New Roman" w:hAnsi="Times New Roman" w:cs="Times New Roman"/>
          <w:sz w:val="24"/>
          <w:szCs w:val="24"/>
        </w:rPr>
        <w:t>(pp. 184-210). Oxford, UK: Wiley-Blackwell.</w:t>
      </w:r>
    </w:p>
    <w:p w14:paraId="2A1FAD06"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Song, L., Son, J. and Lin, N. (2011). Social Support. In J.</w:t>
      </w:r>
      <w:r>
        <w:rPr>
          <w:rFonts w:ascii="Times New Roman" w:hAnsi="Times New Roman" w:cs="Times New Roman"/>
          <w:sz w:val="24"/>
          <w:szCs w:val="24"/>
        </w:rPr>
        <w:t xml:space="preserve"> </w:t>
      </w:r>
      <w:r w:rsidRPr="006526A0">
        <w:rPr>
          <w:rFonts w:ascii="Times New Roman" w:hAnsi="Times New Roman" w:cs="Times New Roman"/>
          <w:sz w:val="24"/>
          <w:szCs w:val="24"/>
        </w:rPr>
        <w:t>Scott &amp; P.J.</w:t>
      </w:r>
      <w:r>
        <w:rPr>
          <w:rFonts w:ascii="Times New Roman" w:hAnsi="Times New Roman" w:cs="Times New Roman"/>
          <w:sz w:val="24"/>
          <w:szCs w:val="24"/>
        </w:rPr>
        <w:t xml:space="preserve"> </w:t>
      </w:r>
      <w:r w:rsidRPr="006526A0">
        <w:rPr>
          <w:rFonts w:ascii="Times New Roman" w:hAnsi="Times New Roman" w:cs="Times New Roman"/>
          <w:sz w:val="24"/>
          <w:szCs w:val="24"/>
        </w:rPr>
        <w:t xml:space="preserve">Carrington (Eds.), </w:t>
      </w:r>
      <w:r w:rsidRPr="006526A0">
        <w:rPr>
          <w:rFonts w:ascii="Times New Roman" w:hAnsi="Times New Roman" w:cs="Times New Roman"/>
          <w:i/>
          <w:iCs/>
          <w:sz w:val="24"/>
          <w:szCs w:val="24"/>
        </w:rPr>
        <w:t xml:space="preserve">Handbook of social network analyses </w:t>
      </w:r>
      <w:r w:rsidRPr="006526A0">
        <w:rPr>
          <w:rFonts w:ascii="Times New Roman" w:hAnsi="Times New Roman" w:cs="Times New Roman"/>
          <w:sz w:val="24"/>
          <w:szCs w:val="24"/>
        </w:rPr>
        <w:t>(pp. 116-128). London: Sage Publishing Ltd.</w:t>
      </w:r>
    </w:p>
    <w:p w14:paraId="1C3D925A"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Stewart, J. and Tansley, C. (2002). </w:t>
      </w:r>
      <w:r w:rsidRPr="006526A0">
        <w:rPr>
          <w:rFonts w:ascii="Times New Roman" w:hAnsi="Times New Roman" w:cs="Times New Roman"/>
          <w:i/>
          <w:iCs/>
          <w:sz w:val="24"/>
          <w:szCs w:val="24"/>
        </w:rPr>
        <w:t>Training in the knowledge economy</w:t>
      </w:r>
      <w:r w:rsidRPr="006526A0">
        <w:rPr>
          <w:rFonts w:ascii="Times New Roman" w:hAnsi="Times New Roman" w:cs="Times New Roman"/>
          <w:sz w:val="24"/>
          <w:szCs w:val="24"/>
        </w:rPr>
        <w:t>. (Research report). London: CIPD.</w:t>
      </w:r>
    </w:p>
    <w:p w14:paraId="01245201"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eastAsiaTheme="minorEastAsia" w:hAnsi="Times New Roman" w:cs="Times New Roman"/>
          <w:sz w:val="24"/>
          <w:szCs w:val="24"/>
          <w:lang w:eastAsia="zh-CN"/>
        </w:rPr>
        <w:t xml:space="preserve">Swanson, A.R. (2001). Human resource development and its underlying theory, </w:t>
      </w:r>
      <w:r w:rsidRPr="006526A0">
        <w:rPr>
          <w:rFonts w:ascii="Times New Roman" w:eastAsiaTheme="minorEastAsia" w:hAnsi="Times New Roman" w:cs="Times New Roman"/>
          <w:i/>
          <w:iCs/>
          <w:sz w:val="24"/>
          <w:szCs w:val="24"/>
          <w:lang w:eastAsia="zh-CN"/>
        </w:rPr>
        <w:t>Human Resource Development International</w:t>
      </w:r>
      <w:r w:rsidRPr="006526A0">
        <w:rPr>
          <w:rFonts w:ascii="Times New Roman" w:eastAsiaTheme="minorEastAsia" w:hAnsi="Times New Roman" w:cs="Times New Roman"/>
          <w:sz w:val="24"/>
          <w:szCs w:val="24"/>
          <w:lang w:eastAsia="zh-CN"/>
        </w:rPr>
        <w:t>, 4(3): 299-312.</w:t>
      </w:r>
    </w:p>
    <w:p w14:paraId="696A9287"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Swart, J., Kinnie, N. and Purcell. J. (2003). </w:t>
      </w:r>
      <w:r w:rsidRPr="006526A0">
        <w:rPr>
          <w:rFonts w:ascii="Times New Roman" w:hAnsi="Times New Roman" w:cs="Times New Roman"/>
          <w:i/>
          <w:iCs/>
          <w:sz w:val="24"/>
          <w:szCs w:val="24"/>
        </w:rPr>
        <w:t>People performance in knowledge-intensive firms</w:t>
      </w:r>
      <w:r w:rsidRPr="006526A0">
        <w:rPr>
          <w:rFonts w:ascii="Times New Roman" w:hAnsi="Times New Roman" w:cs="Times New Roman"/>
          <w:sz w:val="24"/>
          <w:szCs w:val="24"/>
        </w:rPr>
        <w:t xml:space="preserve"> (Research report). London: CIPD.</w:t>
      </w:r>
    </w:p>
    <w:p w14:paraId="38843EA7"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Theodoropoulos, D., Kyridis, A., Zagkos, G. and Konstantinidou, Z. (2014). “Brain drain” phenomenon in Greece: Young Greek scientists on their way to immigration in an era of “crisis”. Attitudes, opinions and beliefs towards the prospect of migration. </w:t>
      </w:r>
      <w:r w:rsidRPr="006526A0">
        <w:rPr>
          <w:rFonts w:ascii="Times New Roman" w:hAnsi="Times New Roman" w:cs="Times New Roman"/>
          <w:i/>
          <w:iCs/>
          <w:sz w:val="24"/>
          <w:szCs w:val="24"/>
        </w:rPr>
        <w:t>Journal of Education and Human Development</w:t>
      </w:r>
      <w:r w:rsidRPr="006526A0">
        <w:rPr>
          <w:rFonts w:ascii="Times New Roman" w:hAnsi="Times New Roman" w:cs="Times New Roman"/>
          <w:sz w:val="24"/>
          <w:szCs w:val="24"/>
        </w:rPr>
        <w:t>, 3(4): 229-248.</w:t>
      </w:r>
    </w:p>
    <w:p w14:paraId="44646A67" w14:textId="77777777"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color w:val="222222"/>
          <w:sz w:val="24"/>
          <w:szCs w:val="24"/>
          <w:shd w:val="clear" w:color="auto" w:fill="FFFFFF"/>
        </w:rPr>
      </w:pPr>
      <w:r w:rsidRPr="006526A0">
        <w:rPr>
          <w:rFonts w:ascii="Times New Roman" w:hAnsi="Times New Roman" w:cs="Times New Roman"/>
          <w:color w:val="222222"/>
          <w:sz w:val="24"/>
          <w:szCs w:val="24"/>
          <w:shd w:val="clear" w:color="auto" w:fill="FFFFFF"/>
        </w:rPr>
        <w:t>Thompson, P.</w:t>
      </w:r>
      <w:r>
        <w:rPr>
          <w:rFonts w:ascii="Times New Roman" w:hAnsi="Times New Roman" w:cs="Times New Roman"/>
          <w:color w:val="222222"/>
          <w:sz w:val="24"/>
          <w:szCs w:val="24"/>
          <w:shd w:val="clear" w:color="auto" w:fill="FFFFFF"/>
        </w:rPr>
        <w:t>, Newsome, K. and Commander, J. (</w:t>
      </w:r>
      <w:r w:rsidRPr="006526A0">
        <w:rPr>
          <w:rFonts w:ascii="Times New Roman" w:hAnsi="Times New Roman" w:cs="Times New Roman"/>
          <w:color w:val="222222"/>
          <w:sz w:val="24"/>
          <w:szCs w:val="24"/>
          <w:shd w:val="clear" w:color="auto" w:fill="FFFFFF"/>
        </w:rPr>
        <w:t>2013</w:t>
      </w:r>
      <w:r>
        <w:rPr>
          <w:rFonts w:ascii="Times New Roman" w:hAnsi="Times New Roman" w:cs="Times New Roman"/>
          <w:color w:val="222222"/>
          <w:sz w:val="24"/>
          <w:szCs w:val="24"/>
          <w:shd w:val="clear" w:color="auto" w:fill="FFFFFF"/>
        </w:rPr>
        <w:t>)</w:t>
      </w:r>
      <w:r w:rsidRPr="006526A0">
        <w:rPr>
          <w:rFonts w:ascii="Times New Roman" w:hAnsi="Times New Roman" w:cs="Times New Roman"/>
          <w:color w:val="222222"/>
          <w:sz w:val="24"/>
          <w:szCs w:val="24"/>
          <w:shd w:val="clear" w:color="auto" w:fill="FFFFFF"/>
        </w:rPr>
        <w:t>. Good when they want to be’: migrant workers in the supermarket supply chain.</w:t>
      </w:r>
      <w:r w:rsidRPr="006526A0">
        <w:rPr>
          <w:rStyle w:val="apple-converted-space"/>
          <w:rFonts w:ascii="Times New Roman" w:hAnsi="Times New Roman" w:cs="Times New Roman"/>
          <w:color w:val="222222"/>
          <w:sz w:val="24"/>
          <w:szCs w:val="24"/>
          <w:shd w:val="clear" w:color="auto" w:fill="FFFFFF"/>
        </w:rPr>
        <w:t> </w:t>
      </w:r>
      <w:r w:rsidRPr="006526A0">
        <w:rPr>
          <w:rFonts w:ascii="Times New Roman" w:hAnsi="Times New Roman" w:cs="Times New Roman"/>
          <w:i/>
          <w:iCs/>
          <w:color w:val="222222"/>
          <w:sz w:val="24"/>
          <w:szCs w:val="24"/>
          <w:shd w:val="clear" w:color="auto" w:fill="FFFFFF"/>
        </w:rPr>
        <w:t>Human Resource Management Journal</w:t>
      </w:r>
      <w:r w:rsidRPr="006526A0">
        <w:rPr>
          <w:rFonts w:ascii="Times New Roman" w:hAnsi="Times New Roman" w:cs="Times New Roman"/>
          <w:color w:val="222222"/>
          <w:sz w:val="24"/>
          <w:szCs w:val="24"/>
          <w:shd w:val="clear" w:color="auto" w:fill="FFFFFF"/>
        </w:rPr>
        <w:t>,</w:t>
      </w:r>
      <w:r w:rsidRPr="006526A0">
        <w:rPr>
          <w:rStyle w:val="apple-converted-space"/>
          <w:rFonts w:ascii="Times New Roman" w:hAnsi="Times New Roman" w:cs="Times New Roman"/>
          <w:color w:val="222222"/>
          <w:sz w:val="24"/>
          <w:szCs w:val="24"/>
          <w:shd w:val="clear" w:color="auto" w:fill="FFFFFF"/>
        </w:rPr>
        <w:t> </w:t>
      </w:r>
      <w:r w:rsidRPr="007E60B9">
        <w:rPr>
          <w:rFonts w:ascii="Times New Roman" w:hAnsi="Times New Roman" w:cs="Times New Roman"/>
          <w:iCs/>
          <w:color w:val="222222"/>
          <w:sz w:val="24"/>
          <w:szCs w:val="24"/>
          <w:shd w:val="clear" w:color="auto" w:fill="FFFFFF"/>
        </w:rPr>
        <w:t>23</w:t>
      </w:r>
      <w:r w:rsidRPr="006526A0">
        <w:rPr>
          <w:rFonts w:ascii="Times New Roman" w:hAnsi="Times New Roman" w:cs="Times New Roman"/>
          <w:color w:val="222222"/>
          <w:sz w:val="24"/>
          <w:szCs w:val="24"/>
          <w:shd w:val="clear" w:color="auto" w:fill="FFFFFF"/>
        </w:rPr>
        <w:t>(2)</w:t>
      </w:r>
      <w:r>
        <w:rPr>
          <w:rFonts w:ascii="Times New Roman" w:hAnsi="Times New Roman" w:cs="Times New Roman"/>
          <w:color w:val="222222"/>
          <w:sz w:val="24"/>
          <w:szCs w:val="24"/>
          <w:shd w:val="clear" w:color="auto" w:fill="FFFFFF"/>
        </w:rPr>
        <w:t xml:space="preserve">: </w:t>
      </w:r>
      <w:r w:rsidRPr="006526A0">
        <w:rPr>
          <w:rFonts w:ascii="Times New Roman" w:hAnsi="Times New Roman" w:cs="Times New Roman"/>
          <w:color w:val="222222"/>
          <w:sz w:val="24"/>
          <w:szCs w:val="24"/>
          <w:shd w:val="clear" w:color="auto" w:fill="FFFFFF"/>
        </w:rPr>
        <w:t>129-143.</w:t>
      </w:r>
    </w:p>
    <w:p w14:paraId="5B52D42C"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lastRenderedPageBreak/>
        <w:t xml:space="preserve">Trappmann, V. (2011). </w:t>
      </w:r>
      <w:r w:rsidRPr="006526A0">
        <w:rPr>
          <w:rFonts w:ascii="Times New Roman" w:hAnsi="Times New Roman" w:cs="Times New Roman"/>
          <w:i/>
          <w:sz w:val="24"/>
          <w:szCs w:val="24"/>
        </w:rPr>
        <w:t>Precarious employment in Poland – a legacy of transition or an effect of European integration?</w:t>
      </w:r>
      <w:r w:rsidRPr="006526A0">
        <w:rPr>
          <w:rFonts w:ascii="Times New Roman" w:hAnsi="Times New Roman" w:cs="Times New Roman"/>
          <w:sz w:val="24"/>
          <w:szCs w:val="24"/>
        </w:rPr>
        <w:t xml:space="preserve"> Report submitted to the Employment and economy in Central and Eastern Europe centre (EMERCON), retrieved from: </w:t>
      </w:r>
      <w:hyperlink r:id="rId33" w:history="1">
        <w:r w:rsidRPr="006526A0">
          <w:rPr>
            <w:rStyle w:val="Hyperlink"/>
            <w:rFonts w:ascii="Times New Roman" w:hAnsi="Times New Roman" w:cs="Times New Roman"/>
            <w:sz w:val="24"/>
            <w:szCs w:val="24"/>
          </w:rPr>
          <w:t>http://emecon.eu/fileadmin/articles/1_2011/emecon%201_2011Trappmann.pdf</w:t>
        </w:r>
      </w:hyperlink>
      <w:r w:rsidRPr="006526A0">
        <w:rPr>
          <w:rFonts w:ascii="Times New Roman" w:hAnsi="Times New Roman" w:cs="Times New Roman"/>
          <w:sz w:val="24"/>
          <w:szCs w:val="24"/>
        </w:rPr>
        <w:t xml:space="preserve"> [Assessed on 21</w:t>
      </w:r>
      <w:r w:rsidRPr="006526A0">
        <w:rPr>
          <w:rFonts w:ascii="Times New Roman" w:hAnsi="Times New Roman" w:cs="Times New Roman"/>
          <w:sz w:val="24"/>
          <w:szCs w:val="24"/>
          <w:vertAlign w:val="superscript"/>
        </w:rPr>
        <w:t>st</w:t>
      </w:r>
      <w:r w:rsidRPr="006526A0">
        <w:rPr>
          <w:rFonts w:ascii="Times New Roman" w:hAnsi="Times New Roman" w:cs="Times New Roman"/>
          <w:sz w:val="24"/>
          <w:szCs w:val="24"/>
        </w:rPr>
        <w:t xml:space="preserve"> April 2017].</w:t>
      </w:r>
    </w:p>
    <w:p w14:paraId="13A28543" w14:textId="77777777" w:rsidR="009F126F" w:rsidRPr="006526A0" w:rsidRDefault="009F126F" w:rsidP="006526A0">
      <w:pPr>
        <w:autoSpaceDE w:val="0"/>
        <w:autoSpaceDN w:val="0"/>
        <w:adjustRightInd w:val="0"/>
        <w:spacing w:after="0" w:line="240" w:lineRule="auto"/>
        <w:ind w:firstLine="284"/>
        <w:jc w:val="both"/>
        <w:rPr>
          <w:rFonts w:ascii="Times New Roman" w:hAnsi="Times New Roman" w:cs="Times New Roman"/>
          <w:color w:val="222222"/>
          <w:sz w:val="24"/>
          <w:szCs w:val="24"/>
          <w:shd w:val="clear" w:color="auto" w:fill="FFFFFF"/>
        </w:rPr>
      </w:pPr>
      <w:r w:rsidRPr="006526A0">
        <w:rPr>
          <w:rFonts w:ascii="Times New Roman" w:hAnsi="Times New Roman" w:cs="Times New Roman"/>
          <w:color w:val="222222"/>
          <w:sz w:val="24"/>
          <w:szCs w:val="24"/>
          <w:shd w:val="clear" w:color="auto" w:fill="FFFFFF"/>
        </w:rPr>
        <w:t>Turchick Hakak, L. and Al Ariss, A.</w:t>
      </w:r>
      <w:r>
        <w:rPr>
          <w:rFonts w:ascii="Times New Roman" w:hAnsi="Times New Roman" w:cs="Times New Roman"/>
          <w:color w:val="222222"/>
          <w:sz w:val="24"/>
          <w:szCs w:val="24"/>
          <w:shd w:val="clear" w:color="auto" w:fill="FFFFFF"/>
        </w:rPr>
        <w:t xml:space="preserve"> (</w:t>
      </w:r>
      <w:r w:rsidRPr="006526A0">
        <w:rPr>
          <w:rFonts w:ascii="Times New Roman" w:hAnsi="Times New Roman" w:cs="Times New Roman"/>
          <w:color w:val="222222"/>
          <w:sz w:val="24"/>
          <w:szCs w:val="24"/>
          <w:shd w:val="clear" w:color="auto" w:fill="FFFFFF"/>
        </w:rPr>
        <w:t>2013</w:t>
      </w:r>
      <w:r>
        <w:rPr>
          <w:rFonts w:ascii="Times New Roman" w:hAnsi="Times New Roman" w:cs="Times New Roman"/>
          <w:color w:val="222222"/>
          <w:sz w:val="24"/>
          <w:szCs w:val="24"/>
          <w:shd w:val="clear" w:color="auto" w:fill="FFFFFF"/>
        </w:rPr>
        <w:t>)</w:t>
      </w:r>
      <w:r w:rsidRPr="006526A0">
        <w:rPr>
          <w:rFonts w:ascii="Times New Roman" w:hAnsi="Times New Roman" w:cs="Times New Roman"/>
          <w:color w:val="222222"/>
          <w:sz w:val="24"/>
          <w:szCs w:val="24"/>
          <w:shd w:val="clear" w:color="auto" w:fill="FFFFFF"/>
        </w:rPr>
        <w:t>. Vulnerable work and international migrants: A relational human resource management perspective.</w:t>
      </w:r>
      <w:r w:rsidRPr="006526A0">
        <w:rPr>
          <w:rStyle w:val="apple-converted-space"/>
          <w:rFonts w:ascii="Times New Roman" w:hAnsi="Times New Roman" w:cs="Times New Roman"/>
          <w:color w:val="222222"/>
          <w:sz w:val="24"/>
          <w:szCs w:val="24"/>
          <w:shd w:val="clear" w:color="auto" w:fill="FFFFFF"/>
        </w:rPr>
        <w:t> </w:t>
      </w:r>
      <w:r w:rsidRPr="006526A0">
        <w:rPr>
          <w:rFonts w:ascii="Times New Roman" w:hAnsi="Times New Roman" w:cs="Times New Roman"/>
          <w:i/>
          <w:iCs/>
          <w:color w:val="222222"/>
          <w:sz w:val="24"/>
          <w:szCs w:val="24"/>
          <w:shd w:val="clear" w:color="auto" w:fill="FFFFFF"/>
        </w:rPr>
        <w:t>The International Journal of Human Resource Management</w:t>
      </w:r>
      <w:r w:rsidRPr="006526A0">
        <w:rPr>
          <w:rFonts w:ascii="Times New Roman" w:hAnsi="Times New Roman" w:cs="Times New Roman"/>
          <w:color w:val="222222"/>
          <w:sz w:val="24"/>
          <w:szCs w:val="24"/>
          <w:shd w:val="clear" w:color="auto" w:fill="FFFFFF"/>
        </w:rPr>
        <w:t>,</w:t>
      </w:r>
      <w:r w:rsidRPr="006526A0">
        <w:rPr>
          <w:rStyle w:val="apple-converted-space"/>
          <w:rFonts w:ascii="Times New Roman" w:hAnsi="Times New Roman" w:cs="Times New Roman"/>
          <w:color w:val="222222"/>
          <w:sz w:val="24"/>
          <w:szCs w:val="24"/>
          <w:shd w:val="clear" w:color="auto" w:fill="FFFFFF"/>
        </w:rPr>
        <w:t> </w:t>
      </w:r>
      <w:r w:rsidRPr="00B321AF">
        <w:rPr>
          <w:rFonts w:ascii="Times New Roman" w:hAnsi="Times New Roman" w:cs="Times New Roman"/>
          <w:iCs/>
          <w:color w:val="222222"/>
          <w:sz w:val="24"/>
          <w:szCs w:val="24"/>
          <w:shd w:val="clear" w:color="auto" w:fill="FFFFFF"/>
        </w:rPr>
        <w:t>24</w:t>
      </w:r>
      <w:r w:rsidRPr="00B321AF">
        <w:rPr>
          <w:rFonts w:ascii="Times New Roman" w:hAnsi="Times New Roman" w:cs="Times New Roman"/>
          <w:color w:val="222222"/>
          <w:sz w:val="24"/>
          <w:szCs w:val="24"/>
          <w:shd w:val="clear" w:color="auto" w:fill="FFFFFF"/>
        </w:rPr>
        <w:t>(22)</w:t>
      </w:r>
      <w:r>
        <w:rPr>
          <w:rFonts w:ascii="Times New Roman" w:hAnsi="Times New Roman" w:cs="Times New Roman"/>
          <w:color w:val="222222"/>
          <w:sz w:val="24"/>
          <w:szCs w:val="24"/>
          <w:shd w:val="clear" w:color="auto" w:fill="FFFFFF"/>
        </w:rPr>
        <w:t xml:space="preserve">: </w:t>
      </w:r>
      <w:r w:rsidRPr="006526A0">
        <w:rPr>
          <w:rFonts w:ascii="Times New Roman" w:hAnsi="Times New Roman" w:cs="Times New Roman"/>
          <w:color w:val="222222"/>
          <w:sz w:val="24"/>
          <w:szCs w:val="24"/>
          <w:shd w:val="clear" w:color="auto" w:fill="FFFFFF"/>
        </w:rPr>
        <w:t>4116-4131.</w:t>
      </w:r>
    </w:p>
    <w:p w14:paraId="5CDF16AE"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Verma, B.S., Upadhyaya, Y. and Kumar Bajpai, A. (2008). </w:t>
      </w:r>
      <w:r w:rsidRPr="006526A0">
        <w:rPr>
          <w:rFonts w:ascii="Times New Roman" w:hAnsi="Times New Roman" w:cs="Times New Roman"/>
          <w:i/>
          <w:iCs/>
          <w:sz w:val="24"/>
          <w:szCs w:val="24"/>
        </w:rPr>
        <w:t>Globalization at the Crossroads</w:t>
      </w:r>
      <w:r w:rsidRPr="006526A0">
        <w:rPr>
          <w:rFonts w:ascii="Times New Roman" w:hAnsi="Times New Roman" w:cs="Times New Roman"/>
          <w:sz w:val="24"/>
          <w:szCs w:val="24"/>
        </w:rPr>
        <w:t xml:space="preserve">. New Delhi: Sarup &amp; Sons. </w:t>
      </w:r>
    </w:p>
    <w:p w14:paraId="75760C04"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Wang, G.G. and Holton, E.F. (2005). Neoclassical and institutional economics as foundations for human resource development theory. </w:t>
      </w:r>
      <w:r w:rsidRPr="006526A0">
        <w:rPr>
          <w:rFonts w:ascii="Times New Roman" w:hAnsi="Times New Roman" w:cs="Times New Roman"/>
          <w:i/>
          <w:iCs/>
          <w:sz w:val="24"/>
          <w:szCs w:val="24"/>
        </w:rPr>
        <w:t>Human Resource Development Review</w:t>
      </w:r>
      <w:r w:rsidRPr="006526A0">
        <w:rPr>
          <w:rFonts w:ascii="Times New Roman" w:hAnsi="Times New Roman" w:cs="Times New Roman"/>
          <w:sz w:val="24"/>
          <w:szCs w:val="24"/>
        </w:rPr>
        <w:t>, 4(1): 86-108.</w:t>
      </w:r>
    </w:p>
    <w:p w14:paraId="4CB7EA7E" w14:textId="77777777" w:rsidR="009F126F" w:rsidRPr="006526A0" w:rsidRDefault="009F126F" w:rsidP="006526A0">
      <w:pPr>
        <w:spacing w:after="0" w:line="240" w:lineRule="auto"/>
        <w:ind w:firstLine="284"/>
        <w:contextualSpacing/>
        <w:jc w:val="both"/>
        <w:rPr>
          <w:rFonts w:ascii="Times New Roman" w:hAnsi="Times New Roman" w:cs="Times New Roman"/>
          <w:sz w:val="24"/>
          <w:szCs w:val="24"/>
        </w:rPr>
      </w:pPr>
      <w:r w:rsidRPr="006526A0">
        <w:rPr>
          <w:rFonts w:ascii="Times New Roman" w:hAnsi="Times New Roman" w:cs="Times New Roman"/>
          <w:sz w:val="24"/>
          <w:szCs w:val="24"/>
        </w:rPr>
        <w:t xml:space="preserve">Zhang, G. (2003). Migration of highly skilled Chinese to Europe: trends and perspective. </w:t>
      </w:r>
      <w:r w:rsidRPr="006526A0">
        <w:rPr>
          <w:rFonts w:ascii="Times New Roman" w:hAnsi="Times New Roman" w:cs="Times New Roman"/>
          <w:i/>
          <w:sz w:val="24"/>
          <w:szCs w:val="24"/>
        </w:rPr>
        <w:t>International Migration</w:t>
      </w:r>
      <w:r w:rsidRPr="006526A0">
        <w:rPr>
          <w:rFonts w:ascii="Times New Roman" w:hAnsi="Times New Roman" w:cs="Times New Roman"/>
          <w:sz w:val="24"/>
          <w:szCs w:val="24"/>
        </w:rPr>
        <w:t>, 41(3): 73-97.</w:t>
      </w:r>
    </w:p>
    <w:p w14:paraId="3C6D6704" w14:textId="77777777" w:rsidR="0003150F" w:rsidRPr="006526A0" w:rsidRDefault="0003150F" w:rsidP="006526A0">
      <w:pPr>
        <w:spacing w:after="0" w:line="240" w:lineRule="auto"/>
        <w:ind w:firstLine="284"/>
        <w:contextualSpacing/>
        <w:jc w:val="both"/>
        <w:rPr>
          <w:rFonts w:ascii="Times New Roman" w:hAnsi="Times New Roman" w:cs="Times New Roman"/>
          <w:sz w:val="24"/>
          <w:szCs w:val="24"/>
        </w:rPr>
      </w:pPr>
    </w:p>
    <w:p w14:paraId="2F06E643" w14:textId="1544BC52" w:rsidR="00277403" w:rsidRPr="006526A0" w:rsidRDefault="00277403" w:rsidP="006526A0">
      <w:pPr>
        <w:spacing w:after="0" w:line="240" w:lineRule="auto"/>
        <w:ind w:firstLine="284"/>
        <w:contextualSpacing/>
        <w:jc w:val="both"/>
        <w:rPr>
          <w:rFonts w:ascii="Times New Roman" w:hAnsi="Times New Roman" w:cs="Times New Roman"/>
          <w:sz w:val="24"/>
          <w:szCs w:val="24"/>
        </w:rPr>
      </w:pPr>
    </w:p>
    <w:sectPr w:rsidR="00277403" w:rsidRPr="006526A0" w:rsidSect="00CD7738">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FCC61" w14:textId="77777777" w:rsidR="006A5EE5" w:rsidRDefault="006A5EE5" w:rsidP="00CD7738">
      <w:pPr>
        <w:spacing w:after="0" w:line="240" w:lineRule="auto"/>
      </w:pPr>
      <w:r>
        <w:separator/>
      </w:r>
    </w:p>
  </w:endnote>
  <w:endnote w:type="continuationSeparator" w:id="0">
    <w:p w14:paraId="37998408" w14:textId="77777777" w:rsidR="006A5EE5" w:rsidRDefault="006A5EE5" w:rsidP="00CD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Ottawa">
    <w:altName w:val="MS Gothic"/>
    <w:panose1 w:val="00000000000000000000"/>
    <w:charset w:val="80"/>
    <w:family w:val="auto"/>
    <w:notTrueType/>
    <w:pitch w:val="default"/>
    <w:sig w:usb0="00000003" w:usb1="08070000" w:usb2="00000010" w:usb3="00000000" w:csb0="00020001" w:csb1="00000000"/>
  </w:font>
  <w:font w:name="TimesNewRomanPSMT">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C640" w14:textId="77777777" w:rsidR="00CD7738" w:rsidRDefault="00CD77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133480"/>
      <w:docPartObj>
        <w:docPartGallery w:val="Page Numbers (Bottom of Page)"/>
        <w:docPartUnique/>
      </w:docPartObj>
    </w:sdtPr>
    <w:sdtEndPr>
      <w:rPr>
        <w:noProof/>
      </w:rPr>
    </w:sdtEndPr>
    <w:sdtContent>
      <w:p w14:paraId="66F37136" w14:textId="00A01DE9" w:rsidR="00CD7738" w:rsidRDefault="00CD7738">
        <w:pPr>
          <w:pStyle w:val="Footer"/>
          <w:jc w:val="center"/>
        </w:pPr>
        <w:r>
          <w:fldChar w:fldCharType="begin"/>
        </w:r>
        <w:r>
          <w:instrText xml:space="preserve"> PAGE   \* MERGEFORMAT </w:instrText>
        </w:r>
        <w:r>
          <w:fldChar w:fldCharType="separate"/>
        </w:r>
        <w:r w:rsidR="00715CA3">
          <w:rPr>
            <w:noProof/>
          </w:rPr>
          <w:t>9</w:t>
        </w:r>
        <w:r>
          <w:rPr>
            <w:noProof/>
          </w:rPr>
          <w:fldChar w:fldCharType="end"/>
        </w:r>
      </w:p>
    </w:sdtContent>
  </w:sdt>
  <w:p w14:paraId="09F1FBCC" w14:textId="77777777" w:rsidR="00CD7738" w:rsidRDefault="00CD77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2DFE0" w14:textId="77777777" w:rsidR="00CD7738" w:rsidRDefault="00CD7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D1B25" w14:textId="77777777" w:rsidR="006A5EE5" w:rsidRDefault="006A5EE5" w:rsidP="00CD7738">
      <w:pPr>
        <w:spacing w:after="0" w:line="240" w:lineRule="auto"/>
      </w:pPr>
      <w:r>
        <w:separator/>
      </w:r>
    </w:p>
  </w:footnote>
  <w:footnote w:type="continuationSeparator" w:id="0">
    <w:p w14:paraId="7A418E5E" w14:textId="77777777" w:rsidR="006A5EE5" w:rsidRDefault="006A5EE5" w:rsidP="00CD7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89CF" w14:textId="77777777" w:rsidR="00CD7738" w:rsidRDefault="00CD7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B59A" w14:textId="77777777" w:rsidR="00CD7738" w:rsidRDefault="00CD7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DFC10" w14:textId="77777777" w:rsidR="00CD7738" w:rsidRDefault="00CD77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C90"/>
    <w:rsid w:val="000051D8"/>
    <w:rsid w:val="00024D55"/>
    <w:rsid w:val="0002585A"/>
    <w:rsid w:val="00030AA4"/>
    <w:rsid w:val="0003150F"/>
    <w:rsid w:val="00040244"/>
    <w:rsid w:val="00056FAF"/>
    <w:rsid w:val="00062053"/>
    <w:rsid w:val="000701D8"/>
    <w:rsid w:val="000734F4"/>
    <w:rsid w:val="00080A68"/>
    <w:rsid w:val="000A2CB9"/>
    <w:rsid w:val="000B1C91"/>
    <w:rsid w:val="000B5FCB"/>
    <w:rsid w:val="000D5404"/>
    <w:rsid w:val="000E258A"/>
    <w:rsid w:val="000F4211"/>
    <w:rsid w:val="000F5042"/>
    <w:rsid w:val="00113DD8"/>
    <w:rsid w:val="00132476"/>
    <w:rsid w:val="0015335E"/>
    <w:rsid w:val="0017705C"/>
    <w:rsid w:val="00182276"/>
    <w:rsid w:val="001869A2"/>
    <w:rsid w:val="001A7868"/>
    <w:rsid w:val="001B672C"/>
    <w:rsid w:val="001E64F4"/>
    <w:rsid w:val="001F0CE9"/>
    <w:rsid w:val="001F4C90"/>
    <w:rsid w:val="00202E3A"/>
    <w:rsid w:val="00235DE2"/>
    <w:rsid w:val="0024671C"/>
    <w:rsid w:val="0024724A"/>
    <w:rsid w:val="00247A96"/>
    <w:rsid w:val="00272FB0"/>
    <w:rsid w:val="00277403"/>
    <w:rsid w:val="00291DFA"/>
    <w:rsid w:val="002D4E44"/>
    <w:rsid w:val="002F1715"/>
    <w:rsid w:val="002F2821"/>
    <w:rsid w:val="00302285"/>
    <w:rsid w:val="00307B04"/>
    <w:rsid w:val="00364E12"/>
    <w:rsid w:val="003700FD"/>
    <w:rsid w:val="0037045D"/>
    <w:rsid w:val="00375E80"/>
    <w:rsid w:val="00383328"/>
    <w:rsid w:val="00396703"/>
    <w:rsid w:val="003A4644"/>
    <w:rsid w:val="003A4BDA"/>
    <w:rsid w:val="003A53B4"/>
    <w:rsid w:val="003C2F2B"/>
    <w:rsid w:val="003C685E"/>
    <w:rsid w:val="003D1810"/>
    <w:rsid w:val="003D2F82"/>
    <w:rsid w:val="003F1B88"/>
    <w:rsid w:val="00401591"/>
    <w:rsid w:val="00402B70"/>
    <w:rsid w:val="00402BEC"/>
    <w:rsid w:val="00440971"/>
    <w:rsid w:val="0044521B"/>
    <w:rsid w:val="00460900"/>
    <w:rsid w:val="004623DB"/>
    <w:rsid w:val="004813BD"/>
    <w:rsid w:val="00493793"/>
    <w:rsid w:val="00493A55"/>
    <w:rsid w:val="004A6224"/>
    <w:rsid w:val="004C03E9"/>
    <w:rsid w:val="004C5AB8"/>
    <w:rsid w:val="004D76BA"/>
    <w:rsid w:val="004E50C7"/>
    <w:rsid w:val="004F5214"/>
    <w:rsid w:val="00530603"/>
    <w:rsid w:val="0053218F"/>
    <w:rsid w:val="0053542A"/>
    <w:rsid w:val="00554673"/>
    <w:rsid w:val="005579DA"/>
    <w:rsid w:val="00560543"/>
    <w:rsid w:val="005620AD"/>
    <w:rsid w:val="00572D58"/>
    <w:rsid w:val="00581309"/>
    <w:rsid w:val="005A5864"/>
    <w:rsid w:val="005A792F"/>
    <w:rsid w:val="005B3FEC"/>
    <w:rsid w:val="005C1435"/>
    <w:rsid w:val="005C371C"/>
    <w:rsid w:val="005C7B74"/>
    <w:rsid w:val="00617549"/>
    <w:rsid w:val="00631E59"/>
    <w:rsid w:val="00635BED"/>
    <w:rsid w:val="006445D2"/>
    <w:rsid w:val="006526A0"/>
    <w:rsid w:val="00653747"/>
    <w:rsid w:val="00676A39"/>
    <w:rsid w:val="00681461"/>
    <w:rsid w:val="00684B77"/>
    <w:rsid w:val="00691BBB"/>
    <w:rsid w:val="006A1C23"/>
    <w:rsid w:val="006A5EE5"/>
    <w:rsid w:val="006A7069"/>
    <w:rsid w:val="006B6A37"/>
    <w:rsid w:val="006E7470"/>
    <w:rsid w:val="006F5F1C"/>
    <w:rsid w:val="006F6D27"/>
    <w:rsid w:val="00701922"/>
    <w:rsid w:val="00701B70"/>
    <w:rsid w:val="00701D85"/>
    <w:rsid w:val="00715CA3"/>
    <w:rsid w:val="007265B4"/>
    <w:rsid w:val="007367D6"/>
    <w:rsid w:val="00742126"/>
    <w:rsid w:val="00752608"/>
    <w:rsid w:val="00762B4E"/>
    <w:rsid w:val="00785B6D"/>
    <w:rsid w:val="00786EE6"/>
    <w:rsid w:val="00790CB5"/>
    <w:rsid w:val="007D4479"/>
    <w:rsid w:val="007E60B9"/>
    <w:rsid w:val="007F2C98"/>
    <w:rsid w:val="007F6AF7"/>
    <w:rsid w:val="00827F48"/>
    <w:rsid w:val="008305AA"/>
    <w:rsid w:val="008309B2"/>
    <w:rsid w:val="008401C7"/>
    <w:rsid w:val="0084336A"/>
    <w:rsid w:val="0085470B"/>
    <w:rsid w:val="008628D5"/>
    <w:rsid w:val="0086675B"/>
    <w:rsid w:val="00867924"/>
    <w:rsid w:val="00890DBB"/>
    <w:rsid w:val="00893ACF"/>
    <w:rsid w:val="008A28BA"/>
    <w:rsid w:val="008B346A"/>
    <w:rsid w:val="008B7C01"/>
    <w:rsid w:val="008D57DD"/>
    <w:rsid w:val="008E06CF"/>
    <w:rsid w:val="008E154E"/>
    <w:rsid w:val="009027CC"/>
    <w:rsid w:val="00925581"/>
    <w:rsid w:val="009670D5"/>
    <w:rsid w:val="0097411C"/>
    <w:rsid w:val="009808CE"/>
    <w:rsid w:val="00990257"/>
    <w:rsid w:val="00991096"/>
    <w:rsid w:val="009953C4"/>
    <w:rsid w:val="0099660E"/>
    <w:rsid w:val="009B31FE"/>
    <w:rsid w:val="009C6D90"/>
    <w:rsid w:val="009D79B9"/>
    <w:rsid w:val="009F126F"/>
    <w:rsid w:val="00A004FD"/>
    <w:rsid w:val="00A11F68"/>
    <w:rsid w:val="00A12514"/>
    <w:rsid w:val="00A251B8"/>
    <w:rsid w:val="00A34545"/>
    <w:rsid w:val="00A36E53"/>
    <w:rsid w:val="00A44706"/>
    <w:rsid w:val="00A71693"/>
    <w:rsid w:val="00A80974"/>
    <w:rsid w:val="00A851F6"/>
    <w:rsid w:val="00AB114B"/>
    <w:rsid w:val="00AB3023"/>
    <w:rsid w:val="00AC5179"/>
    <w:rsid w:val="00AF1EA2"/>
    <w:rsid w:val="00AF5208"/>
    <w:rsid w:val="00B0358E"/>
    <w:rsid w:val="00B138A6"/>
    <w:rsid w:val="00B163AB"/>
    <w:rsid w:val="00B221B9"/>
    <w:rsid w:val="00B27CB6"/>
    <w:rsid w:val="00B321AF"/>
    <w:rsid w:val="00B3298A"/>
    <w:rsid w:val="00B4445F"/>
    <w:rsid w:val="00B5236D"/>
    <w:rsid w:val="00B52BC2"/>
    <w:rsid w:val="00B712B6"/>
    <w:rsid w:val="00B802E1"/>
    <w:rsid w:val="00B95952"/>
    <w:rsid w:val="00BB43E5"/>
    <w:rsid w:val="00BC0DDC"/>
    <w:rsid w:val="00BD25DE"/>
    <w:rsid w:val="00BE223B"/>
    <w:rsid w:val="00BE66F0"/>
    <w:rsid w:val="00C0017A"/>
    <w:rsid w:val="00C01822"/>
    <w:rsid w:val="00C01A03"/>
    <w:rsid w:val="00C14B50"/>
    <w:rsid w:val="00C2167C"/>
    <w:rsid w:val="00C4672E"/>
    <w:rsid w:val="00C60241"/>
    <w:rsid w:val="00C665B3"/>
    <w:rsid w:val="00C73579"/>
    <w:rsid w:val="00C92B9A"/>
    <w:rsid w:val="00CB2CE6"/>
    <w:rsid w:val="00CB2FFC"/>
    <w:rsid w:val="00CB5638"/>
    <w:rsid w:val="00CB5778"/>
    <w:rsid w:val="00CB7674"/>
    <w:rsid w:val="00CD1F14"/>
    <w:rsid w:val="00CD7738"/>
    <w:rsid w:val="00D44399"/>
    <w:rsid w:val="00D83065"/>
    <w:rsid w:val="00DB54AC"/>
    <w:rsid w:val="00DB7D52"/>
    <w:rsid w:val="00DF301C"/>
    <w:rsid w:val="00DF6F76"/>
    <w:rsid w:val="00E14C0E"/>
    <w:rsid w:val="00E30125"/>
    <w:rsid w:val="00E33F41"/>
    <w:rsid w:val="00E379A1"/>
    <w:rsid w:val="00E74252"/>
    <w:rsid w:val="00E80D68"/>
    <w:rsid w:val="00E866E1"/>
    <w:rsid w:val="00E94035"/>
    <w:rsid w:val="00EA42C6"/>
    <w:rsid w:val="00EC3253"/>
    <w:rsid w:val="00F33B0A"/>
    <w:rsid w:val="00F46300"/>
    <w:rsid w:val="00F46C2E"/>
    <w:rsid w:val="00F46E90"/>
    <w:rsid w:val="00F629AF"/>
    <w:rsid w:val="00F63074"/>
    <w:rsid w:val="00F630B2"/>
    <w:rsid w:val="00F67A64"/>
    <w:rsid w:val="00F87E66"/>
    <w:rsid w:val="00F90C82"/>
    <w:rsid w:val="00F92CBB"/>
    <w:rsid w:val="00FC1E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E1CC85"/>
  <w15:docId w15:val="{561E7F0B-26D6-409F-A31C-82534780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4C90"/>
    <w:rPr>
      <w:color w:val="0000FF"/>
      <w:u w:val="single"/>
    </w:rPr>
  </w:style>
  <w:style w:type="paragraph" w:customStyle="1" w:styleId="Default">
    <w:name w:val="Default"/>
    <w:rsid w:val="001F4C90"/>
    <w:pPr>
      <w:autoSpaceDE w:val="0"/>
      <w:autoSpaceDN w:val="0"/>
      <w:adjustRightInd w:val="0"/>
      <w:spacing w:after="0" w:line="240" w:lineRule="auto"/>
    </w:pPr>
    <w:rPr>
      <w:rFonts w:ascii="Times New Roman" w:eastAsiaTheme="minorEastAsia" w:hAnsi="Times New Roman" w:cs="Times New Roman"/>
      <w:color w:val="000000"/>
      <w:sz w:val="24"/>
      <w:szCs w:val="24"/>
      <w:lang w:eastAsia="zh-CN"/>
    </w:rPr>
  </w:style>
  <w:style w:type="character" w:customStyle="1" w:styleId="l7">
    <w:name w:val="l7"/>
    <w:basedOn w:val="DefaultParagraphFont"/>
    <w:rsid w:val="001F4C90"/>
  </w:style>
  <w:style w:type="table" w:styleId="TableGrid">
    <w:name w:val="Table Grid"/>
    <w:basedOn w:val="TableNormal"/>
    <w:uiPriority w:val="39"/>
    <w:rsid w:val="001F4C9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4644"/>
    <w:rPr>
      <w:sz w:val="18"/>
      <w:szCs w:val="18"/>
    </w:rPr>
  </w:style>
  <w:style w:type="paragraph" w:styleId="CommentText">
    <w:name w:val="annotation text"/>
    <w:basedOn w:val="Normal"/>
    <w:link w:val="CommentTextChar"/>
    <w:uiPriority w:val="99"/>
    <w:semiHidden/>
    <w:unhideWhenUsed/>
    <w:rsid w:val="003A4644"/>
    <w:pPr>
      <w:spacing w:line="240" w:lineRule="auto"/>
    </w:pPr>
    <w:rPr>
      <w:sz w:val="24"/>
      <w:szCs w:val="24"/>
    </w:rPr>
  </w:style>
  <w:style w:type="character" w:customStyle="1" w:styleId="CommentTextChar">
    <w:name w:val="Comment Text Char"/>
    <w:basedOn w:val="DefaultParagraphFont"/>
    <w:link w:val="CommentText"/>
    <w:uiPriority w:val="99"/>
    <w:semiHidden/>
    <w:rsid w:val="003A4644"/>
    <w:rPr>
      <w:sz w:val="24"/>
      <w:szCs w:val="24"/>
    </w:rPr>
  </w:style>
  <w:style w:type="paragraph" w:styleId="CommentSubject">
    <w:name w:val="annotation subject"/>
    <w:basedOn w:val="CommentText"/>
    <w:next w:val="CommentText"/>
    <w:link w:val="CommentSubjectChar"/>
    <w:uiPriority w:val="99"/>
    <w:semiHidden/>
    <w:unhideWhenUsed/>
    <w:rsid w:val="003A4644"/>
    <w:rPr>
      <w:b/>
      <w:bCs/>
      <w:sz w:val="20"/>
      <w:szCs w:val="20"/>
    </w:rPr>
  </w:style>
  <w:style w:type="character" w:customStyle="1" w:styleId="CommentSubjectChar">
    <w:name w:val="Comment Subject Char"/>
    <w:basedOn w:val="CommentTextChar"/>
    <w:link w:val="CommentSubject"/>
    <w:uiPriority w:val="99"/>
    <w:semiHidden/>
    <w:rsid w:val="003A4644"/>
    <w:rPr>
      <w:b/>
      <w:bCs/>
      <w:sz w:val="20"/>
      <w:szCs w:val="20"/>
    </w:rPr>
  </w:style>
  <w:style w:type="paragraph" w:styleId="BalloonText">
    <w:name w:val="Balloon Text"/>
    <w:basedOn w:val="Normal"/>
    <w:link w:val="BalloonTextChar"/>
    <w:uiPriority w:val="99"/>
    <w:semiHidden/>
    <w:unhideWhenUsed/>
    <w:rsid w:val="003A46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4644"/>
    <w:rPr>
      <w:rFonts w:ascii="Lucida Grande" w:hAnsi="Lucida Grande" w:cs="Lucida Grande"/>
      <w:sz w:val="18"/>
      <w:szCs w:val="18"/>
    </w:rPr>
  </w:style>
  <w:style w:type="paragraph" w:styleId="Revision">
    <w:name w:val="Revision"/>
    <w:hidden/>
    <w:uiPriority w:val="99"/>
    <w:semiHidden/>
    <w:rsid w:val="007F6AF7"/>
    <w:pPr>
      <w:spacing w:after="0" w:line="240" w:lineRule="auto"/>
    </w:pPr>
  </w:style>
  <w:style w:type="character" w:styleId="HTMLCite">
    <w:name w:val="HTML Cite"/>
    <w:basedOn w:val="DefaultParagraphFont"/>
    <w:uiPriority w:val="99"/>
    <w:semiHidden/>
    <w:unhideWhenUsed/>
    <w:rsid w:val="00056FAF"/>
    <w:rPr>
      <w:i/>
      <w:iCs/>
    </w:rPr>
  </w:style>
  <w:style w:type="character" w:styleId="FollowedHyperlink">
    <w:name w:val="FollowedHyperlink"/>
    <w:basedOn w:val="DefaultParagraphFont"/>
    <w:uiPriority w:val="99"/>
    <w:semiHidden/>
    <w:unhideWhenUsed/>
    <w:rsid w:val="005620AD"/>
    <w:rPr>
      <w:color w:val="954F72" w:themeColor="followedHyperlink"/>
      <w:u w:val="single"/>
    </w:rPr>
  </w:style>
  <w:style w:type="character" w:customStyle="1" w:styleId="apple-converted-space">
    <w:name w:val="apple-converted-space"/>
    <w:basedOn w:val="DefaultParagraphFont"/>
    <w:rsid w:val="0003150F"/>
  </w:style>
  <w:style w:type="paragraph" w:styleId="Header">
    <w:name w:val="header"/>
    <w:basedOn w:val="Normal"/>
    <w:link w:val="HeaderChar"/>
    <w:uiPriority w:val="99"/>
    <w:unhideWhenUsed/>
    <w:rsid w:val="00CD77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7738"/>
  </w:style>
  <w:style w:type="paragraph" w:styleId="Footer">
    <w:name w:val="footer"/>
    <w:basedOn w:val="Normal"/>
    <w:link w:val="FooterChar"/>
    <w:uiPriority w:val="99"/>
    <w:unhideWhenUsed/>
    <w:rsid w:val="00CD77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7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657028">
      <w:bodyDiv w:val="1"/>
      <w:marLeft w:val="0"/>
      <w:marRight w:val="0"/>
      <w:marTop w:val="0"/>
      <w:marBottom w:val="0"/>
      <w:divBdr>
        <w:top w:val="none" w:sz="0" w:space="0" w:color="auto"/>
        <w:left w:val="none" w:sz="0" w:space="0" w:color="auto"/>
        <w:bottom w:val="none" w:sz="0" w:space="0" w:color="auto"/>
        <w:right w:val="none" w:sz="0" w:space="0" w:color="auto"/>
      </w:divBdr>
      <w:divsChild>
        <w:div w:id="1993750037">
          <w:marLeft w:val="0"/>
          <w:marRight w:val="0"/>
          <w:marTop w:val="0"/>
          <w:marBottom w:val="0"/>
          <w:divBdr>
            <w:top w:val="none" w:sz="0" w:space="0" w:color="auto"/>
            <w:left w:val="none" w:sz="0" w:space="0" w:color="auto"/>
            <w:bottom w:val="none" w:sz="0" w:space="0" w:color="auto"/>
            <w:right w:val="none" w:sz="0" w:space="0" w:color="auto"/>
          </w:divBdr>
          <w:divsChild>
            <w:div w:id="1604727481">
              <w:marLeft w:val="0"/>
              <w:marRight w:val="0"/>
              <w:marTop w:val="0"/>
              <w:marBottom w:val="0"/>
              <w:divBdr>
                <w:top w:val="none" w:sz="0" w:space="0" w:color="auto"/>
                <w:left w:val="none" w:sz="0" w:space="0" w:color="auto"/>
                <w:bottom w:val="none" w:sz="0" w:space="0" w:color="auto"/>
                <w:right w:val="none" w:sz="0" w:space="0" w:color="auto"/>
              </w:divBdr>
              <w:divsChild>
                <w:div w:id="964967484">
                  <w:marLeft w:val="0"/>
                  <w:marRight w:val="0"/>
                  <w:marTop w:val="0"/>
                  <w:marBottom w:val="0"/>
                  <w:divBdr>
                    <w:top w:val="none" w:sz="0" w:space="0" w:color="auto"/>
                    <w:left w:val="none" w:sz="0" w:space="0" w:color="auto"/>
                    <w:bottom w:val="none" w:sz="0" w:space="0" w:color="auto"/>
                    <w:right w:val="none" w:sz="0" w:space="0" w:color="auto"/>
                  </w:divBdr>
                  <w:divsChild>
                    <w:div w:id="465659058">
                      <w:marLeft w:val="0"/>
                      <w:marRight w:val="0"/>
                      <w:marTop w:val="0"/>
                      <w:marBottom w:val="0"/>
                      <w:divBdr>
                        <w:top w:val="none" w:sz="0" w:space="0" w:color="auto"/>
                        <w:left w:val="none" w:sz="0" w:space="0" w:color="auto"/>
                        <w:bottom w:val="none" w:sz="0" w:space="0" w:color="auto"/>
                        <w:right w:val="none" w:sz="0" w:space="0" w:color="auto"/>
                      </w:divBdr>
                      <w:divsChild>
                        <w:div w:id="1762919562">
                          <w:marLeft w:val="0"/>
                          <w:marRight w:val="0"/>
                          <w:marTop w:val="0"/>
                          <w:marBottom w:val="0"/>
                          <w:divBdr>
                            <w:top w:val="none" w:sz="0" w:space="0" w:color="auto"/>
                            <w:left w:val="none" w:sz="0" w:space="0" w:color="auto"/>
                            <w:bottom w:val="none" w:sz="0" w:space="0" w:color="auto"/>
                            <w:right w:val="none" w:sz="0" w:space="0" w:color="auto"/>
                          </w:divBdr>
                          <w:divsChild>
                            <w:div w:id="1406297735">
                              <w:marLeft w:val="0"/>
                              <w:marRight w:val="0"/>
                              <w:marTop w:val="0"/>
                              <w:marBottom w:val="0"/>
                              <w:divBdr>
                                <w:top w:val="none" w:sz="0" w:space="0" w:color="auto"/>
                                <w:left w:val="none" w:sz="0" w:space="0" w:color="auto"/>
                                <w:bottom w:val="none" w:sz="0" w:space="0" w:color="auto"/>
                                <w:right w:val="none" w:sz="0" w:space="0" w:color="auto"/>
                              </w:divBdr>
                              <w:divsChild>
                                <w:div w:id="1200049610">
                                  <w:marLeft w:val="0"/>
                                  <w:marRight w:val="0"/>
                                  <w:marTop w:val="0"/>
                                  <w:marBottom w:val="0"/>
                                  <w:divBdr>
                                    <w:top w:val="none" w:sz="0" w:space="0" w:color="auto"/>
                                    <w:left w:val="none" w:sz="0" w:space="0" w:color="auto"/>
                                    <w:bottom w:val="none" w:sz="0" w:space="0" w:color="auto"/>
                                    <w:right w:val="none" w:sz="0" w:space="0" w:color="auto"/>
                                  </w:divBdr>
                                  <w:divsChild>
                                    <w:div w:id="1743722986">
                                      <w:marLeft w:val="0"/>
                                      <w:marRight w:val="0"/>
                                      <w:marTop w:val="0"/>
                                      <w:marBottom w:val="0"/>
                                      <w:divBdr>
                                        <w:top w:val="none" w:sz="0" w:space="0" w:color="auto"/>
                                        <w:left w:val="none" w:sz="0" w:space="0" w:color="auto"/>
                                        <w:bottom w:val="none" w:sz="0" w:space="0" w:color="auto"/>
                                        <w:right w:val="none" w:sz="0" w:space="0" w:color="auto"/>
                                      </w:divBdr>
                                      <w:divsChild>
                                        <w:div w:id="12479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dro.mendonca@ntu.ac.uk" TargetMode="External"/><Relationship Id="rId13" Type="http://schemas.openxmlformats.org/officeDocument/2006/relationships/chart" Target="charts/chart5.xml"/><Relationship Id="rId18" Type="http://schemas.openxmlformats.org/officeDocument/2006/relationships/hyperlink" Target="http://www.emeraldinsight.com/author/Sohal%2C+Amrik+S" TargetMode="External"/><Relationship Id="rId26" Type="http://schemas.openxmlformats.org/officeDocument/2006/relationships/hyperlink" Target="http://www.un.org/en/ecosoc/meetings/2006/hls2006/Preparatory/Statements/Kubursi_RT6.pdf"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globalgovernanceprogramme.eui.eu/wp-content/uploads/2014/03/SURVEY-REPORT-Emigrating-in-times-of-crisis.pdf" TargetMode="External"/><Relationship Id="rId34" Type="http://schemas.openxmlformats.org/officeDocument/2006/relationships/header" Target="header1.xml"/><Relationship Id="rId7" Type="http://schemas.openxmlformats.org/officeDocument/2006/relationships/hyperlink" Target="mailto:fotios.mitsakis@ntu.ac.uk" TargetMode="External"/><Relationship Id="rId12" Type="http://schemas.openxmlformats.org/officeDocument/2006/relationships/chart" Target="charts/chart4.xml"/><Relationship Id="rId17" Type="http://schemas.openxmlformats.org/officeDocument/2006/relationships/hyperlink" Target="http://www.emeraldinsight.com/author/D%27Netto%2C+Brian" TargetMode="External"/><Relationship Id="rId25" Type="http://schemas.openxmlformats.org/officeDocument/2006/relationships/hyperlink" Target="http://epc2006.princeton.edu/download.aspx?submissionId=60112" TargetMode="External"/><Relationship Id="rId33" Type="http://schemas.openxmlformats.org/officeDocument/2006/relationships/hyperlink" Target="http://emecon.eu/fileadmin/articles/1_2011/emecon%201_2011Trappmann.pdf"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wseas.us/e-library/conferences/2013/Chania/ICFA/ICFA-41.pdf" TargetMode="External"/><Relationship Id="rId20" Type="http://schemas.openxmlformats.org/officeDocument/2006/relationships/hyperlink" Target="http://press.ecpr.eu/documents/sampleChapters/9781907301728.pdf" TargetMode="External"/><Relationship Id="rId29" Type="http://schemas.openxmlformats.org/officeDocument/2006/relationships/hyperlink" Target="https://www.oecd.org/edu/Greece-EAG2014-Country-Note.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3.xml"/><Relationship Id="rId24" Type="http://schemas.openxmlformats.org/officeDocument/2006/relationships/hyperlink" Target="http://www.un.org/esa/population/meetings/thirdcoord2004/P14_IOM.pdf" TargetMode="External"/><Relationship Id="rId32" Type="http://schemas.openxmlformats.org/officeDocument/2006/relationships/hyperlink" Target="https://www.theguardian.com/world/2016/jul/03/greek-economic-migrants-increasing-while-joblessness-soar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ipd.co.uk/Images/labour-market-outlook_2017-winter-2016-17_tcm18-18238.pdf" TargetMode="External"/><Relationship Id="rId23" Type="http://schemas.openxmlformats.org/officeDocument/2006/relationships/hyperlink" Target="http://www.bbc.co.uk/news/world-europe-17464528" TargetMode="External"/><Relationship Id="rId28" Type="http://schemas.openxmlformats.org/officeDocument/2006/relationships/hyperlink" Target="http://aa.com.tr/en/economy/9-years-since-crisis-hit-greek-brain-drain-continues/593675" TargetMode="External"/><Relationship Id="rId36"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hyperlink" Target="http://ec.europa.eu/eurostat/statistics-explained/index.php/Unemployment_statistics" TargetMode="External"/><Relationship Id="rId31" Type="http://schemas.openxmlformats.org/officeDocument/2006/relationships/hyperlink" Target="https://www.theguardian.com/world/2015/jan/19/young-talented-greek-generation-g-worlds-biggest-brain-drain"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www.oecd.org/document/41/0,3746,en_21571361_44315115_48113897_1_1_1_1,00.html" TargetMode="External"/><Relationship Id="rId27" Type="http://schemas.openxmlformats.org/officeDocument/2006/relationships/hyperlink" Target="http://dx.doi.org/10.1111/j.1467-8543.2010.00802.x" TargetMode="External"/><Relationship Id="rId30" Type="http://schemas.openxmlformats.org/officeDocument/2006/relationships/hyperlink" Target="https://www.ons.gov.uk/peoplepopulationandcommunity/populationandmigration/internationalmigration/bulletins/migrationstatisticsquarterlyreport/feb2017" TargetMode="External"/><Relationship Id="rId35"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hmd3mitsaf\Desktop\HRD%20Conference%202017%20-%20Lisbon\Chart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GB"/>
              <a:t>Participants (Sex)</a:t>
            </a:r>
          </a:p>
        </c:rich>
      </c:tx>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F843-416B-9E06-3E1F23842CBC}"/>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F843-416B-9E06-3E1F23842CBC}"/>
              </c:ext>
            </c:extLst>
          </c:dPt>
          <c:dLbls>
            <c:dLbl>
              <c:idx val="0"/>
              <c:tx>
                <c:rich>
                  <a:bodyPr/>
                  <a:lstStyle/>
                  <a:p>
                    <a:fld id="{CA4AEA4A-0422-45D4-AE31-AFAB59879016}" type="VALUE">
                      <a:rPr lang="en-US" sz="1200"/>
                      <a:pPr/>
                      <a:t>[VALUE]</a:t>
                    </a:fld>
                    <a:endParaRPr lang="en-GB"/>
                  </a:p>
                </c:rich>
              </c:tx>
              <c:dLblPos val="inEnd"/>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843-416B-9E06-3E1F23842CBC}"/>
                </c:ext>
              </c:extLst>
            </c:dLbl>
            <c:dLbl>
              <c:idx val="1"/>
              <c:tx>
                <c:rich>
                  <a:bodyPr/>
                  <a:lstStyle/>
                  <a:p>
                    <a:fld id="{011BA23A-0234-4B09-B8D3-944B16A1C9A7}" type="VALUE">
                      <a:rPr lang="en-US" sz="1200"/>
                      <a:pPr/>
                      <a:t>[VALUE]</a:t>
                    </a:fld>
                    <a:endParaRPr lang="en-GB"/>
                  </a:p>
                </c:rich>
              </c:tx>
              <c:dLblPos val="inEnd"/>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843-416B-9E06-3E1F23842CB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Sheet1!$A$20:$A$21</c:f>
              <c:strCache>
                <c:ptCount val="2"/>
                <c:pt idx="0">
                  <c:v>Male</c:v>
                </c:pt>
                <c:pt idx="1">
                  <c:v>Female</c:v>
                </c:pt>
              </c:strCache>
            </c:strRef>
          </c:cat>
          <c:val>
            <c:numRef>
              <c:f>Sheet1!$B$20:$B$21</c:f>
              <c:numCache>
                <c:formatCode>0%</c:formatCode>
                <c:ptCount val="2"/>
                <c:pt idx="0">
                  <c:v>0.52</c:v>
                </c:pt>
                <c:pt idx="1">
                  <c:v>0.48</c:v>
                </c:pt>
              </c:numCache>
            </c:numRef>
          </c:val>
          <c:extLst>
            <c:ext xmlns:c16="http://schemas.microsoft.com/office/drawing/2014/chart" uri="{C3380CC4-5D6E-409C-BE32-E72D297353CC}">
              <c16:uniqueId val="{00000004-F843-416B-9E06-3E1F23842CBC}"/>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mn-lt"/>
                <a:ea typeface="+mn-ea"/>
                <a:cs typeface="+mn-cs"/>
              </a:defRPr>
            </a:pPr>
            <a:r>
              <a:rPr lang="en-GB" sz="1000"/>
              <a:t>Population Demographics (Age group)</a:t>
            </a:r>
          </a:p>
        </c:rich>
      </c:tx>
      <c:layout>
        <c:manualLayout>
          <c:xMode val="edge"/>
          <c:yMode val="edge"/>
          <c:x val="0.16944596426957204"/>
          <c:y val="3.1007751937984496E-2"/>
        </c:manualLayout>
      </c:layout>
      <c:overlay val="0"/>
      <c:spPr>
        <a:noFill/>
        <a:ln>
          <a:noFill/>
        </a:ln>
        <a:effectLst/>
      </c:spPr>
      <c:txPr>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D24-4BAB-9C1D-DCF8BB0D76E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D24-4BAB-9C1D-DCF8BB0D76E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D24-4BAB-9C1D-DCF8BB0D76E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8D24-4BAB-9C1D-DCF8BB0D76E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8D24-4BAB-9C1D-DCF8BB0D76EC}"/>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8D24-4BAB-9C1D-DCF8BB0D76EC}"/>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8D24-4BAB-9C1D-DCF8BB0D76EC}"/>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8D24-4BAB-9C1D-DCF8BB0D76EC}"/>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8D24-4BAB-9C1D-DCF8BB0D76EC}"/>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8D24-4BAB-9C1D-DCF8BB0D76EC}"/>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7-8D24-4BAB-9C1D-DCF8BB0D76EC}"/>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9-8D24-4BAB-9C1D-DCF8BB0D76EC}"/>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B-8D24-4BAB-9C1D-DCF8BB0D76EC}"/>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D-8D24-4BAB-9C1D-DCF8BB0D76EC}"/>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Sheet1!$A$333:$A$339</c:f>
              <c:strCache>
                <c:ptCount val="7"/>
                <c:pt idx="0">
                  <c:v>18-20</c:v>
                </c:pt>
                <c:pt idx="1">
                  <c:v>21-24</c:v>
                </c:pt>
                <c:pt idx="2">
                  <c:v>25-30</c:v>
                </c:pt>
                <c:pt idx="3">
                  <c:v>31-35</c:v>
                </c:pt>
                <c:pt idx="4">
                  <c:v>36-40</c:v>
                </c:pt>
                <c:pt idx="5">
                  <c:v>41-45</c:v>
                </c:pt>
                <c:pt idx="6">
                  <c:v>Over 45</c:v>
                </c:pt>
              </c:strCache>
            </c:strRef>
          </c:cat>
          <c:val>
            <c:numRef>
              <c:f>Sheet1!$B$333:$B$339</c:f>
              <c:numCache>
                <c:formatCode>General</c:formatCode>
                <c:ptCount val="7"/>
                <c:pt idx="0">
                  <c:v>3</c:v>
                </c:pt>
                <c:pt idx="1">
                  <c:v>5</c:v>
                </c:pt>
                <c:pt idx="2">
                  <c:v>19</c:v>
                </c:pt>
                <c:pt idx="3">
                  <c:v>17</c:v>
                </c:pt>
                <c:pt idx="4">
                  <c:v>9</c:v>
                </c:pt>
                <c:pt idx="5">
                  <c:v>6</c:v>
                </c:pt>
                <c:pt idx="6">
                  <c:v>7</c:v>
                </c:pt>
              </c:numCache>
            </c:numRef>
          </c:val>
          <c:extLst>
            <c:ext xmlns:c16="http://schemas.microsoft.com/office/drawing/2014/chart" uri="{C3380CC4-5D6E-409C-BE32-E72D297353CC}">
              <c16:uniqueId val="{0000000E-8D24-4BAB-9C1D-DCF8BB0D76EC}"/>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spc="50" baseline="0">
                <a:solidFill>
                  <a:schemeClr val="tx1">
                    <a:lumMod val="65000"/>
                    <a:lumOff val="35000"/>
                  </a:schemeClr>
                </a:solidFill>
                <a:latin typeface="+mn-lt"/>
                <a:ea typeface="+mn-ea"/>
                <a:cs typeface="+mn-cs"/>
              </a:defRPr>
            </a:pPr>
            <a:r>
              <a:rPr lang="en-GB" sz="1200"/>
              <a:t>Participants (Country of emigration)</a:t>
            </a:r>
          </a:p>
        </c:rich>
      </c:tx>
      <c:overlay val="0"/>
      <c:spPr>
        <a:noFill/>
        <a:ln>
          <a:noFill/>
        </a:ln>
        <a:effectLst/>
      </c:spPr>
      <c:txPr>
        <a:bodyPr rot="0" spcFirstLastPara="1" vertOverflow="ellipsis" vert="horz" wrap="square" anchor="ctr" anchorCtr="1"/>
        <a:lstStyle/>
        <a:p>
          <a:pPr>
            <a:defRPr sz="12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doughnut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970D-46FC-9D32-EE5DB7FA732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970D-46FC-9D32-EE5DB7FA732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970D-46FC-9D32-EE5DB7FA732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970D-46FC-9D32-EE5DB7FA7327}"/>
              </c:ext>
            </c:extLst>
          </c:dPt>
          <c:dLbls>
            <c:dLbl>
              <c:idx val="0"/>
              <c:tx>
                <c:rich>
                  <a:bodyPr/>
                  <a:lstStyle/>
                  <a:p>
                    <a:fld id="{D11A273D-ED90-413F-B017-6C100DFAE09C}" type="VALUE">
                      <a:rPr lang="en-US" sz="1200"/>
                      <a:pPr/>
                      <a:t>[VALUE]</a:t>
                    </a:fld>
                    <a:endParaRPr lang="en-GB"/>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70D-46FC-9D32-EE5DB7FA7327}"/>
                </c:ext>
              </c:extLst>
            </c:dLbl>
            <c:dLbl>
              <c:idx val="1"/>
              <c:tx>
                <c:rich>
                  <a:bodyPr/>
                  <a:lstStyle/>
                  <a:p>
                    <a:fld id="{542A4A64-C595-4F8E-A1CD-890A8D885B26}" type="VALUE">
                      <a:rPr lang="en-US" sz="1200"/>
                      <a:pPr/>
                      <a:t>[VALUE]</a:t>
                    </a:fld>
                    <a:endParaRPr lang="en-GB"/>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70D-46FC-9D32-EE5DB7FA7327}"/>
                </c:ext>
              </c:extLst>
            </c:dLbl>
            <c:dLbl>
              <c:idx val="2"/>
              <c:tx>
                <c:rich>
                  <a:bodyPr/>
                  <a:lstStyle/>
                  <a:p>
                    <a:fld id="{AA27A2CF-FEB5-45E9-AD4D-7D380BFB439F}" type="VALUE">
                      <a:rPr lang="en-US" sz="1200"/>
                      <a:pPr/>
                      <a:t>[VALUE]</a:t>
                    </a:fld>
                    <a:endParaRPr lang="en-GB"/>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70D-46FC-9D32-EE5DB7FA7327}"/>
                </c:ext>
              </c:extLst>
            </c:dLbl>
            <c:dLbl>
              <c:idx val="3"/>
              <c:tx>
                <c:rich>
                  <a:bodyPr/>
                  <a:lstStyle/>
                  <a:p>
                    <a:fld id="{BBF2D51D-EAAD-4415-B1D5-C3DAB440FE94}" type="VALUE">
                      <a:rPr lang="en-US" sz="1200"/>
                      <a:pPr/>
                      <a:t>[VALUE]</a:t>
                    </a:fld>
                    <a:endParaRPr lang="en-GB"/>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70D-46FC-9D32-EE5DB7FA732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United Kingdom</c:v>
                </c:pt>
                <c:pt idx="1">
                  <c:v>Germany</c:v>
                </c:pt>
                <c:pt idx="2">
                  <c:v>Netherlands</c:v>
                </c:pt>
                <c:pt idx="3">
                  <c:v>France</c:v>
                </c:pt>
              </c:strCache>
            </c:strRef>
          </c:cat>
          <c:val>
            <c:numRef>
              <c:f>Sheet1!$B$2:$B$5</c:f>
              <c:numCache>
                <c:formatCode>General</c:formatCode>
                <c:ptCount val="4"/>
                <c:pt idx="0">
                  <c:v>29</c:v>
                </c:pt>
                <c:pt idx="1">
                  <c:v>8</c:v>
                </c:pt>
                <c:pt idx="2">
                  <c:v>4</c:v>
                </c:pt>
                <c:pt idx="3">
                  <c:v>6</c:v>
                </c:pt>
              </c:numCache>
            </c:numRef>
          </c:val>
          <c:extLst>
            <c:ext xmlns:c16="http://schemas.microsoft.com/office/drawing/2014/chart" uri="{C3380CC4-5D6E-409C-BE32-E72D297353CC}">
              <c16:uniqueId val="{00000008-970D-46FC-9D32-EE5DB7FA7327}"/>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GB"/>
              <a:t>Educational Level</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EAA4-4966-9B68-F7D76A37481E}"/>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EAA4-4966-9B68-F7D76A37481E}"/>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EAA4-4966-9B68-F7D76A37481E}"/>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EAA4-4966-9B68-F7D76A37481E}"/>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9-EAA4-4966-9B68-F7D76A37481E}"/>
              </c:ext>
            </c:extLst>
          </c:dPt>
          <c:dLbls>
            <c:dLbl>
              <c:idx val="0"/>
              <c:tx>
                <c:rich>
                  <a:bodyPr/>
                  <a:lstStyle/>
                  <a:p>
                    <a:r>
                      <a:rPr lang="en-US" baseline="0"/>
                      <a:t>
</a:t>
                    </a:r>
                    <a:fld id="{8DA7B342-440C-4470-9A64-CECC101DE63E}" type="PERCENTAGE">
                      <a:rPr lang="en-US" sz="1200" baseline="0"/>
                      <a:pPr/>
                      <a:t>[PERCENTAGE]</a:t>
                    </a:fld>
                    <a:endParaRPr lang="en-US" baseline="0"/>
                  </a:p>
                </c:rich>
              </c:tx>
              <c:dLblPos val="in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AA4-4966-9B68-F7D76A37481E}"/>
                </c:ext>
              </c:extLst>
            </c:dLbl>
            <c:dLbl>
              <c:idx val="1"/>
              <c:tx>
                <c:rich>
                  <a:bodyPr/>
                  <a:lstStyle/>
                  <a:p>
                    <a:r>
                      <a:rPr lang="en-US" baseline="0"/>
                      <a:t>
</a:t>
                    </a:r>
                    <a:fld id="{673155C5-2D7A-4B24-8D87-E0CB63F99AC8}" type="PERCENTAGE">
                      <a:rPr lang="en-US" sz="1200" baseline="0"/>
                      <a:pPr/>
                      <a:t>[PERCENTAGE]</a:t>
                    </a:fld>
                    <a:endParaRPr lang="en-US" baseline="0"/>
                  </a:p>
                </c:rich>
              </c:tx>
              <c:dLblPos val="in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AA4-4966-9B68-F7D76A37481E}"/>
                </c:ext>
              </c:extLst>
            </c:dLbl>
            <c:dLbl>
              <c:idx val="2"/>
              <c:tx>
                <c:rich>
                  <a:bodyPr/>
                  <a:lstStyle/>
                  <a:p>
                    <a:r>
                      <a:rPr lang="en-US" baseline="0"/>
                      <a:t>
</a:t>
                    </a:r>
                    <a:fld id="{A685512F-A86A-413A-9426-C024F7646C52}" type="PERCENTAGE">
                      <a:rPr lang="en-US" sz="1200" baseline="0"/>
                      <a:pPr/>
                      <a:t>[PERCENTAGE]</a:t>
                    </a:fld>
                    <a:endParaRPr lang="en-US" baseline="0"/>
                  </a:p>
                </c:rich>
              </c:tx>
              <c:dLblPos val="in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AA4-4966-9B68-F7D76A37481E}"/>
                </c:ext>
              </c:extLst>
            </c:dLbl>
            <c:dLbl>
              <c:idx val="3"/>
              <c:tx>
                <c:rich>
                  <a:bodyPr/>
                  <a:lstStyle/>
                  <a:p>
                    <a:r>
                      <a:rPr lang="en-US" baseline="0"/>
                      <a:t>
</a:t>
                    </a:r>
                    <a:fld id="{0DF11678-F587-4A52-9989-83D4525FD612}" type="PERCENTAGE">
                      <a:rPr lang="en-US" sz="1200" baseline="0"/>
                      <a:pPr/>
                      <a:t>[PERCENTAGE]</a:t>
                    </a:fld>
                    <a:endParaRPr lang="en-US" baseline="0"/>
                  </a:p>
                </c:rich>
              </c:tx>
              <c:dLblPos val="in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AA4-4966-9B68-F7D76A37481E}"/>
                </c:ext>
              </c:extLst>
            </c:dLbl>
            <c:dLbl>
              <c:idx val="4"/>
              <c:layout>
                <c:manualLayout>
                  <c:x val="6.9870126337834654E-2"/>
                  <c:y val="0.11841610051451146"/>
                </c:manualLayout>
              </c:layout>
              <c:tx>
                <c:rich>
                  <a:bodyPr/>
                  <a:lstStyle/>
                  <a:p>
                    <a:r>
                      <a:rPr lang="en-US" baseline="0"/>
                      <a:t>
</a:t>
                    </a:r>
                    <a:fld id="{BC090547-0DC1-4EA4-AAC2-0CD0E6EB6FDB}" type="PERCENTAGE">
                      <a:rPr lang="en-US" sz="1200" baseline="0"/>
                      <a:pPr/>
                      <a:t>[PERCENTAGE]</a:t>
                    </a:fld>
                    <a:endParaRPr lang="en-US" baseline="0"/>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AA4-4966-9B68-F7D76A37481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mn-lt"/>
                    <a:ea typeface="+mn-ea"/>
                    <a:cs typeface="+mn-cs"/>
                  </a:defRPr>
                </a:pPr>
                <a:endParaRPr lang="en-US"/>
              </a:p>
            </c:txPr>
            <c:dLblPos val="in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Sheet1!$A$40:$A$44</c:f>
              <c:strCache>
                <c:ptCount val="5"/>
                <c:pt idx="0">
                  <c:v>Master (MSc, MA)</c:v>
                </c:pt>
                <c:pt idx="1">
                  <c:v>PhD</c:v>
                </c:pt>
                <c:pt idx="2">
                  <c:v>Bachelor</c:v>
                </c:pt>
                <c:pt idx="3">
                  <c:v>College</c:v>
                </c:pt>
                <c:pt idx="4">
                  <c:v>No degree</c:v>
                </c:pt>
              </c:strCache>
            </c:strRef>
          </c:cat>
          <c:val>
            <c:numRef>
              <c:f>Sheet1!$B$40:$B$44</c:f>
              <c:numCache>
                <c:formatCode>General</c:formatCode>
                <c:ptCount val="5"/>
                <c:pt idx="0">
                  <c:v>22</c:v>
                </c:pt>
                <c:pt idx="1">
                  <c:v>14</c:v>
                </c:pt>
                <c:pt idx="2">
                  <c:v>10</c:v>
                </c:pt>
                <c:pt idx="3">
                  <c:v>6</c:v>
                </c:pt>
                <c:pt idx="4">
                  <c:v>4</c:v>
                </c:pt>
              </c:numCache>
            </c:numRef>
          </c:val>
          <c:extLst>
            <c:ext xmlns:c16="http://schemas.microsoft.com/office/drawing/2014/chart" uri="{C3380CC4-5D6E-409C-BE32-E72D297353CC}">
              <c16:uniqueId val="{0000000A-EAA4-4966-9B68-F7D76A37481E}"/>
            </c:ext>
          </c:extLst>
        </c:ser>
        <c:dLbls>
          <c:dLblPos val="inEnd"/>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GB"/>
              <a:t>What made you to move abroad?</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1845855716633558E-2"/>
          <c:y val="0.40726012884753043"/>
          <c:w val="0.83520682678358349"/>
          <c:h val="0.5000048143328466"/>
        </c:manualLayout>
      </c:layout>
      <c:pie3DChart>
        <c:varyColors val="1"/>
        <c:ser>
          <c:idx val="0"/>
          <c:order val="0"/>
          <c:explosion val="2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EF34-4998-BD4A-1A76A10DFA01}"/>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EF34-4998-BD4A-1A76A10DFA01}"/>
              </c:ext>
            </c:extLst>
          </c:dPt>
          <c:dPt>
            <c:idx val="2"/>
            <c:bubble3D val="0"/>
            <c:explosion val="13"/>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EF34-4998-BD4A-1A76A10DFA01}"/>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EF34-4998-BD4A-1A76A10DFA01}"/>
              </c:ext>
            </c:extLst>
          </c:dPt>
          <c:dLbls>
            <c:dLbl>
              <c:idx val="0"/>
              <c:layout>
                <c:manualLayout>
                  <c:x val="7.3801334048470557E-2"/>
                  <c:y val="-6.3670221099788468E-2"/>
                </c:manualLayout>
              </c:layout>
              <c:dLblPos val="bestFit"/>
              <c:showLegendKey val="0"/>
              <c:showVal val="1"/>
              <c:showCatName val="1"/>
              <c:showSerName val="0"/>
              <c:showPercent val="0"/>
              <c:showBubbleSize val="0"/>
              <c:extLst>
                <c:ext xmlns:c15="http://schemas.microsoft.com/office/drawing/2012/chart" uri="{CE6537A1-D6FC-4f65-9D91-7224C49458BB}">
                  <c15:layout>
                    <c:manualLayout>
                      <c:w val="0.26957956190055682"/>
                      <c:h val="0.17432746361250298"/>
                    </c:manualLayout>
                  </c15:layout>
                </c:ext>
                <c:ext xmlns:c16="http://schemas.microsoft.com/office/drawing/2014/chart" uri="{C3380CC4-5D6E-409C-BE32-E72D297353CC}">
                  <c16:uniqueId val="{00000001-EF34-4998-BD4A-1A76A10DFA01}"/>
                </c:ext>
              </c:extLst>
            </c:dLbl>
            <c:dLbl>
              <c:idx val="1"/>
              <c:layout>
                <c:manualLayout>
                  <c:x val="5.5767900507763632E-2"/>
                  <c:y val="3.8429778095919742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manualLayout>
                      <c:w val="0.2093318124954007"/>
                      <c:h val="0.20783316630875687"/>
                    </c:manualLayout>
                  </c15:layout>
                </c:ext>
                <c:ext xmlns:c16="http://schemas.microsoft.com/office/drawing/2014/chart" uri="{C3380CC4-5D6E-409C-BE32-E72D297353CC}">
                  <c16:uniqueId val="{00000003-EF34-4998-BD4A-1A76A10DFA01}"/>
                </c:ext>
              </c:extLst>
            </c:dLbl>
            <c:dLbl>
              <c:idx val="2"/>
              <c:layout>
                <c:manualLayout>
                  <c:x val="1.639659528540241E-2"/>
                  <c:y val="5.6525316153662436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2"/>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manualLayout>
                      <c:w val="0.38448549071552973"/>
                      <c:h val="0.1626212359818659"/>
                    </c:manualLayout>
                  </c15:layout>
                </c:ext>
                <c:ext xmlns:c16="http://schemas.microsoft.com/office/drawing/2014/chart" uri="{C3380CC4-5D6E-409C-BE32-E72D297353CC}">
                  <c16:uniqueId val="{00000005-EF34-4998-BD4A-1A76A10DFA01}"/>
                </c:ext>
              </c:extLst>
            </c:dLbl>
            <c:dLbl>
              <c:idx val="3"/>
              <c:layout>
                <c:manualLayout>
                  <c:x val="-4.4234623844885911E-4"/>
                  <c:y val="-9.9173461305502489E-2"/>
                </c:manualLayout>
              </c:layout>
              <c:dLblPos val="bestFit"/>
              <c:showLegendKey val="0"/>
              <c:showVal val="1"/>
              <c:showCatName val="1"/>
              <c:showSerName val="0"/>
              <c:showPercent val="0"/>
              <c:showBubbleSize val="0"/>
              <c:extLst>
                <c:ext xmlns:c15="http://schemas.microsoft.com/office/drawing/2012/chart" uri="{CE6537A1-D6FC-4f65-9D91-7224C49458BB}">
                  <c15:layout>
                    <c:manualLayout>
                      <c:w val="0.38676223458938525"/>
                      <c:h val="0.13466306356675831"/>
                    </c:manualLayout>
                  </c15:layout>
                </c:ext>
                <c:ext xmlns:c16="http://schemas.microsoft.com/office/drawing/2014/chart" uri="{C3380CC4-5D6E-409C-BE32-E72D297353CC}">
                  <c16:uniqueId val="{00000007-EF34-4998-BD4A-1A76A10DFA0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2"/>
                    </a:solidFill>
                    <a:latin typeface="+mn-lt"/>
                    <a:ea typeface="+mn-ea"/>
                    <a:cs typeface="+mn-cs"/>
                  </a:defRPr>
                </a:pPr>
                <a:endParaRPr lang="en-US"/>
              </a:p>
            </c:txPr>
            <c:dLblPos val="outEnd"/>
            <c:showLegendKey val="0"/>
            <c:showVal val="1"/>
            <c:showCatName val="1"/>
            <c:showSerName val="0"/>
            <c:showPercent val="0"/>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Sheet1!$A$166:$A$169</c:f>
              <c:strCache>
                <c:ptCount val="4"/>
                <c:pt idx="0">
                  <c:v>To study my first degree</c:v>
                </c:pt>
                <c:pt idx="1">
                  <c:v>To do my master degree</c:v>
                </c:pt>
                <c:pt idx="2">
                  <c:v>To find a job (having worked back home before)</c:v>
                </c:pt>
                <c:pt idx="3">
                  <c:v>To find a job (without having worked back home before)</c:v>
                </c:pt>
              </c:strCache>
            </c:strRef>
          </c:cat>
          <c:val>
            <c:numRef>
              <c:f>Sheet1!$B$166:$B$169</c:f>
              <c:numCache>
                <c:formatCode>0%</c:formatCode>
                <c:ptCount val="4"/>
                <c:pt idx="0">
                  <c:v>0.12</c:v>
                </c:pt>
                <c:pt idx="1">
                  <c:v>0.18</c:v>
                </c:pt>
                <c:pt idx="2">
                  <c:v>0.65</c:v>
                </c:pt>
                <c:pt idx="3">
                  <c:v>0.05</c:v>
                </c:pt>
              </c:numCache>
            </c:numRef>
          </c:val>
          <c:extLst>
            <c:ext xmlns:c16="http://schemas.microsoft.com/office/drawing/2014/chart" uri="{C3380CC4-5D6E-409C-BE32-E72D297353CC}">
              <c16:uniqueId val="{00000008-EF34-4998-BD4A-1A76A10DFA01}"/>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GB"/>
              <a:t>Reasons for migrating abroad</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Sheet1!$A$214:$A$224</c:f>
              <c:strCache>
                <c:ptCount val="11"/>
                <c:pt idx="0">
                  <c:v>My partner has already been there</c:v>
                </c:pt>
                <c:pt idx="1">
                  <c:v>Job offer right after my graduation</c:v>
                </c:pt>
                <c:pt idx="2">
                  <c:v>Culture of the destination country fits me better</c:v>
                </c:pt>
                <c:pt idx="3">
                  <c:v>Organisational culture of home country organisations</c:v>
                </c:pt>
                <c:pt idx="4">
                  <c:v>Unemployment rates in home country (in general)</c:v>
                </c:pt>
                <c:pt idx="5">
                  <c:v>Wage cuts due to crisis</c:v>
                </c:pt>
                <c:pt idx="6">
                  <c:v>Unable to find a job in home country on my field of studies</c:v>
                </c:pt>
                <c:pt idx="7">
                  <c:v>Better employment opportunities abroad</c:v>
                </c:pt>
                <c:pt idx="8">
                  <c:v>Greater career advancement opportunities abroad</c:v>
                </c:pt>
                <c:pt idx="9">
                  <c:v>Reduced meritocracy and corruption in home country</c:v>
                </c:pt>
                <c:pt idx="10">
                  <c:v>Economic crisis and uncertainty in home country</c:v>
                </c:pt>
              </c:strCache>
            </c:strRef>
          </c:cat>
          <c:val>
            <c:numRef>
              <c:f>Sheet1!$B$214:$B$224</c:f>
              <c:numCache>
                <c:formatCode>0%</c:formatCode>
                <c:ptCount val="11"/>
                <c:pt idx="0">
                  <c:v>0.25</c:v>
                </c:pt>
                <c:pt idx="1">
                  <c:v>0.4</c:v>
                </c:pt>
                <c:pt idx="2">
                  <c:v>0.52</c:v>
                </c:pt>
                <c:pt idx="3">
                  <c:v>0.57999999999999996</c:v>
                </c:pt>
                <c:pt idx="4">
                  <c:v>0.62</c:v>
                </c:pt>
                <c:pt idx="5">
                  <c:v>0.65</c:v>
                </c:pt>
                <c:pt idx="6">
                  <c:v>0.69</c:v>
                </c:pt>
                <c:pt idx="7">
                  <c:v>0.75</c:v>
                </c:pt>
                <c:pt idx="8">
                  <c:v>0.78</c:v>
                </c:pt>
                <c:pt idx="9">
                  <c:v>0.78</c:v>
                </c:pt>
                <c:pt idx="10">
                  <c:v>0.85</c:v>
                </c:pt>
              </c:numCache>
            </c:numRef>
          </c:val>
          <c:extLst>
            <c:ext xmlns:c16="http://schemas.microsoft.com/office/drawing/2014/chart" uri="{C3380CC4-5D6E-409C-BE32-E72D297353CC}">
              <c16:uniqueId val="{00000000-C3B8-40BB-B5FD-1878D933B07D}"/>
            </c:ext>
          </c:extLst>
        </c:ser>
        <c:dLbls>
          <c:showLegendKey val="0"/>
          <c:showVal val="1"/>
          <c:showCatName val="0"/>
          <c:showSerName val="0"/>
          <c:showPercent val="0"/>
          <c:showBubbleSize val="0"/>
        </c:dLbls>
        <c:gapWidth val="150"/>
        <c:shape val="box"/>
        <c:axId val="191773440"/>
        <c:axId val="191773832"/>
        <c:axId val="0"/>
      </c:bar3DChart>
      <c:catAx>
        <c:axId val="19177344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lumMod val="65000"/>
                    <a:lumOff val="35000"/>
                  </a:schemeClr>
                </a:solidFill>
                <a:latin typeface="+mn-lt"/>
                <a:ea typeface="+mn-ea"/>
                <a:cs typeface="+mn-cs"/>
              </a:defRPr>
            </a:pPr>
            <a:endParaRPr lang="en-US"/>
          </a:p>
        </c:txPr>
        <c:crossAx val="191773832"/>
        <c:crosses val="autoZero"/>
        <c:auto val="1"/>
        <c:lblAlgn val="ctr"/>
        <c:lblOffset val="100"/>
        <c:noMultiLvlLbl val="0"/>
      </c:catAx>
      <c:valAx>
        <c:axId val="19177383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17734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3F162-8555-4BC3-94AE-DDC944E4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16</Pages>
  <Words>7297</Words>
  <Characters>41594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48794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Mitsakis, Fotios</dc:creator>
  <cp:keywords/>
  <dc:description/>
  <cp:lastModifiedBy>Mitsakis, Fotios</cp:lastModifiedBy>
  <cp:revision>171</cp:revision>
  <dcterms:created xsi:type="dcterms:W3CDTF">2017-03-23T14:38:00Z</dcterms:created>
  <dcterms:modified xsi:type="dcterms:W3CDTF">2017-05-10T13:22:00Z</dcterms:modified>
</cp:coreProperties>
</file>